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7E6A1" w14:textId="77777777" w:rsidR="007158BA" w:rsidRDefault="00024B48" w:rsidP="006B0DB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54BF4">
        <w:rPr>
          <w:rFonts w:ascii="Arial" w:hAnsi="Arial" w:cs="Arial"/>
          <w:noProof/>
          <w:sz w:val="28"/>
          <w:szCs w:val="28"/>
          <w:lang w:eastAsia="fr-CH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741F8887" wp14:editId="78C593A8">
                <wp:simplePos x="0" y="0"/>
                <wp:positionH relativeFrom="margin">
                  <wp:align>center</wp:align>
                </wp:positionH>
                <wp:positionV relativeFrom="paragraph">
                  <wp:posOffset>230542</wp:posOffset>
                </wp:positionV>
                <wp:extent cx="3791585" cy="1403985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1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8EB3A" w14:textId="77777777" w:rsidR="00BA1F15" w:rsidRPr="00857F09" w:rsidRDefault="00BA1F15" w:rsidP="00BA1F15">
                            <w:pPr>
                              <w:pBdr>
                                <w:top w:val="single" w:sz="24" w:space="9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</w:t>
                            </w:r>
                            <w:r w:rsidRPr="00857F0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IDE-MÉMOIRE</w:t>
                            </w:r>
                          </w:p>
                          <w:p w14:paraId="3FF4D1A2" w14:textId="77777777" w:rsidR="00BA1F15" w:rsidRPr="00857F09" w:rsidRDefault="00BA1F15" w:rsidP="00BA1F15">
                            <w:pPr>
                              <w:pBdr>
                                <w:top w:val="single" w:sz="24" w:space="9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7F0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Traitement des sites pollués selon OSites</w:t>
                            </w:r>
                          </w:p>
                          <w:p w14:paraId="2E1B0B38" w14:textId="77777777" w:rsidR="00BA1F15" w:rsidRPr="00857F09" w:rsidRDefault="00BA1F15" w:rsidP="00BA1F15">
                            <w:pPr>
                              <w:pBdr>
                                <w:top w:val="single" w:sz="24" w:space="9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7F0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Canevas pour l’élaboration de rapport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1F888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8.15pt;width:298.55pt;height:110.55pt;z-index:251659264;visibility:visible;mso-wrap-style:square;mso-width-percent:0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" filled="f" stroked="f">
                <v:textbox style="mso-fit-shape-to-text:t">
                  <w:txbxContent>
                    <w:p w14:paraId="1DC8EB3A" w14:textId="77777777" w:rsidR="00BA1F15" w:rsidRPr="00857F09" w:rsidRDefault="00BA1F15" w:rsidP="00BA1F15">
                      <w:pPr>
                        <w:pBdr>
                          <w:top w:val="single" w:sz="24" w:space="9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 w:rsidRPr="00857F09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IDE-MÉMOIRE</w:t>
                      </w:r>
                    </w:p>
                    <w:p w14:paraId="3FF4D1A2" w14:textId="77777777" w:rsidR="00BA1F15" w:rsidRPr="00857F09" w:rsidRDefault="00BA1F15" w:rsidP="00BA1F15">
                      <w:pPr>
                        <w:pBdr>
                          <w:top w:val="single" w:sz="24" w:space="9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857F09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Traitement des sites pollués selon OSites</w:t>
                      </w:r>
                    </w:p>
                    <w:p w14:paraId="2E1B0B38" w14:textId="77777777" w:rsidR="00BA1F15" w:rsidRPr="00857F09" w:rsidRDefault="00BA1F15" w:rsidP="00BA1F15">
                      <w:pPr>
                        <w:pBdr>
                          <w:top w:val="single" w:sz="24" w:space="9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857F09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Canevas pour l’élaboration de rapport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35A1E">
        <w:rPr>
          <w:rFonts w:ascii="Arial" w:hAnsi="Arial" w:cs="Arial"/>
          <w:b/>
          <w:sz w:val="28"/>
          <w:szCs w:val="28"/>
        </w:rPr>
        <w:t>Modification de l'extension d'un site pollué</w:t>
      </w:r>
      <w:r w:rsidR="00857F09" w:rsidRPr="00954BF4">
        <w:rPr>
          <w:rFonts w:ascii="Arial" w:hAnsi="Arial" w:cs="Arial"/>
          <w:b/>
          <w:sz w:val="28"/>
          <w:szCs w:val="28"/>
        </w:rPr>
        <w:t xml:space="preserve"> </w:t>
      </w:r>
      <w:r w:rsidR="00635A1E">
        <w:rPr>
          <w:rFonts w:ascii="Arial" w:hAnsi="Arial" w:cs="Arial"/>
          <w:b/>
          <w:sz w:val="28"/>
          <w:szCs w:val="28"/>
        </w:rPr>
        <w:t xml:space="preserve">au Cadastre des sites pollués du canton de Genève </w:t>
      </w:r>
      <w:r w:rsidR="00857F09" w:rsidRPr="00954BF4">
        <w:rPr>
          <w:rFonts w:ascii="Arial" w:hAnsi="Arial" w:cs="Arial"/>
          <w:b/>
          <w:sz w:val="28"/>
          <w:szCs w:val="28"/>
        </w:rPr>
        <w:t>(</w:t>
      </w:r>
      <w:r w:rsidR="00635A1E">
        <w:rPr>
          <w:rFonts w:ascii="Arial" w:hAnsi="Arial" w:cs="Arial"/>
          <w:b/>
          <w:sz w:val="28"/>
          <w:szCs w:val="28"/>
        </w:rPr>
        <w:t>CsP</w:t>
      </w:r>
      <w:r w:rsidR="006B0DB2" w:rsidRPr="00954BF4">
        <w:rPr>
          <w:rFonts w:ascii="Arial" w:hAnsi="Arial" w:cs="Arial"/>
          <w:b/>
          <w:sz w:val="28"/>
          <w:szCs w:val="28"/>
        </w:rPr>
        <w:t>)</w:t>
      </w:r>
    </w:p>
    <w:p w14:paraId="2D579EE2" w14:textId="77777777" w:rsidR="00E2004B" w:rsidRDefault="00E2004B" w:rsidP="009D2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Rappel (condition systématique intégrée à toute demande d'autorisation comprenant des travaux d'excavation sur un site pollué inscrit au CSP) : "P</w:t>
      </w:r>
      <w:r w:rsidRPr="00B224DE">
        <w:rPr>
          <w:rFonts w:ascii="Arial" w:hAnsi="Arial" w:cs="Arial"/>
        </w:rPr>
        <w:t>our permettre toute modification de l'extension d</w:t>
      </w:r>
      <w:r>
        <w:rPr>
          <w:rFonts w:ascii="Arial" w:hAnsi="Arial" w:cs="Arial"/>
        </w:rPr>
        <w:t>'</w:t>
      </w:r>
      <w:r w:rsidRPr="00B224DE">
        <w:rPr>
          <w:rFonts w:ascii="Arial" w:hAnsi="Arial" w:cs="Arial"/>
        </w:rPr>
        <w:t>u</w:t>
      </w:r>
      <w:r>
        <w:rPr>
          <w:rFonts w:ascii="Arial" w:hAnsi="Arial" w:cs="Arial"/>
        </w:rPr>
        <w:t>n</w:t>
      </w:r>
      <w:r w:rsidRPr="00B224DE">
        <w:rPr>
          <w:rFonts w:ascii="Arial" w:hAnsi="Arial" w:cs="Arial"/>
        </w:rPr>
        <w:t xml:space="preserve"> site inscrit au cadastre des sites pollués, des analyses chimiques spécifiques en fond de fouille sont nécessaires. Le cas échéant le cahier des charges </w:t>
      </w:r>
      <w:r w:rsidR="00AA68DC">
        <w:rPr>
          <w:rFonts w:ascii="Arial" w:hAnsi="Arial" w:cs="Arial"/>
        </w:rPr>
        <w:t xml:space="preserve">(CdC) </w:t>
      </w:r>
      <w:r w:rsidRPr="00B224DE">
        <w:rPr>
          <w:rFonts w:ascii="Arial" w:hAnsi="Arial" w:cs="Arial"/>
        </w:rPr>
        <w:t xml:space="preserve">des prélèvements et analyses prévues devra </w:t>
      </w:r>
      <w:r w:rsidRPr="00B224DE">
        <w:rPr>
          <w:rFonts w:ascii="Arial" w:hAnsi="Arial" w:cs="Arial"/>
          <w:u w:val="single"/>
        </w:rPr>
        <w:t>impérativement</w:t>
      </w:r>
      <w:r w:rsidRPr="00B224DE">
        <w:rPr>
          <w:rFonts w:ascii="Arial" w:hAnsi="Arial" w:cs="Arial"/>
        </w:rPr>
        <w:t xml:space="preserve"> nous être soumis préalablement à leur exécution pour validation</w:t>
      </w:r>
      <w:r>
        <w:rPr>
          <w:rFonts w:ascii="Arial" w:hAnsi="Arial" w:cs="Arial"/>
        </w:rPr>
        <w:t>"</w:t>
      </w:r>
      <w:r w:rsidRPr="00B224DE">
        <w:rPr>
          <w:rFonts w:ascii="Arial" w:hAnsi="Arial" w:cs="Arial"/>
        </w:rPr>
        <w:t>.</w:t>
      </w:r>
    </w:p>
    <w:p w14:paraId="15770943" w14:textId="77777777" w:rsidR="00635A1E" w:rsidRDefault="00EC6EA9" w:rsidP="009D2A05">
      <w:pPr>
        <w:jc w:val="both"/>
        <w:rPr>
          <w:rFonts w:ascii="Arial" w:hAnsi="Arial" w:cs="Arial"/>
        </w:rPr>
      </w:pPr>
      <w:r w:rsidRPr="009D2A05">
        <w:rPr>
          <w:rFonts w:ascii="Arial" w:hAnsi="Arial" w:cs="Arial"/>
        </w:rPr>
        <w:t xml:space="preserve">L’objectif </w:t>
      </w:r>
      <w:r w:rsidR="00E2004B">
        <w:rPr>
          <w:rFonts w:ascii="Arial" w:hAnsi="Arial" w:cs="Arial"/>
        </w:rPr>
        <w:t xml:space="preserve">ici </w:t>
      </w:r>
      <w:r w:rsidRPr="009D2A05">
        <w:rPr>
          <w:rFonts w:ascii="Arial" w:hAnsi="Arial" w:cs="Arial"/>
        </w:rPr>
        <w:t xml:space="preserve">est de </w:t>
      </w:r>
      <w:r w:rsidR="00635A1E">
        <w:rPr>
          <w:rFonts w:ascii="Arial" w:hAnsi="Arial" w:cs="Arial"/>
        </w:rPr>
        <w:t xml:space="preserve">fournir </w:t>
      </w:r>
      <w:r w:rsidR="00B224DE">
        <w:rPr>
          <w:rFonts w:ascii="Arial" w:hAnsi="Arial" w:cs="Arial"/>
        </w:rPr>
        <w:t xml:space="preserve">aux bureau d'étude spécialisés (BE) </w:t>
      </w:r>
      <w:r w:rsidR="00635A1E">
        <w:rPr>
          <w:rFonts w:ascii="Arial" w:hAnsi="Arial" w:cs="Arial"/>
        </w:rPr>
        <w:t xml:space="preserve">le canevas du rapport </w:t>
      </w:r>
      <w:r w:rsidR="00B224DE">
        <w:rPr>
          <w:rFonts w:ascii="Arial" w:hAnsi="Arial" w:cs="Arial"/>
        </w:rPr>
        <w:t xml:space="preserve">intégrant toutes les informations </w:t>
      </w:r>
      <w:r w:rsidR="00635A1E">
        <w:rPr>
          <w:rFonts w:ascii="Arial" w:hAnsi="Arial" w:cs="Arial"/>
        </w:rPr>
        <w:t>nécessaires au secteur Sites pollués (SSP) du GESDEC au traitement de la demande. Cette demande peut consister en une modification partielle du SP</w:t>
      </w:r>
      <w:r w:rsidR="00B224DE">
        <w:rPr>
          <w:rFonts w:ascii="Arial" w:hAnsi="Arial" w:cs="Arial"/>
        </w:rPr>
        <w:t>, ou la r</w:t>
      </w:r>
      <w:r w:rsidR="00635A1E">
        <w:rPr>
          <w:rFonts w:ascii="Arial" w:hAnsi="Arial" w:cs="Arial"/>
        </w:rPr>
        <w:t xml:space="preserve">adiation </w:t>
      </w:r>
      <w:r w:rsidR="00B224DE">
        <w:rPr>
          <w:rFonts w:ascii="Arial" w:hAnsi="Arial" w:cs="Arial"/>
        </w:rPr>
        <w:t>complète</w:t>
      </w:r>
      <w:r w:rsidR="00635A1E">
        <w:rPr>
          <w:rFonts w:ascii="Arial" w:hAnsi="Arial" w:cs="Arial"/>
        </w:rPr>
        <w:t xml:space="preserve"> de l</w:t>
      </w:r>
      <w:r w:rsidR="00B224DE">
        <w:rPr>
          <w:rFonts w:ascii="Arial" w:hAnsi="Arial" w:cs="Arial"/>
        </w:rPr>
        <w:t>a (des)</w:t>
      </w:r>
      <w:r w:rsidR="00635A1E">
        <w:rPr>
          <w:rFonts w:ascii="Arial" w:hAnsi="Arial" w:cs="Arial"/>
        </w:rPr>
        <w:t xml:space="preserve"> parcelle</w:t>
      </w:r>
      <w:r w:rsidR="00B224DE">
        <w:rPr>
          <w:rFonts w:ascii="Arial" w:hAnsi="Arial" w:cs="Arial"/>
        </w:rPr>
        <w:t>(s)</w:t>
      </w:r>
      <w:r w:rsidR="00635A1E">
        <w:rPr>
          <w:rFonts w:ascii="Arial" w:hAnsi="Arial" w:cs="Arial"/>
        </w:rPr>
        <w:t>.</w:t>
      </w:r>
      <w:r w:rsidR="00B224DE">
        <w:rPr>
          <w:rFonts w:ascii="Arial" w:hAnsi="Arial" w:cs="Arial"/>
        </w:rPr>
        <w:t xml:space="preserve"> Ce rapport peut faire l'objet d'un chapitre intégré au rapport final d'</w:t>
      </w:r>
      <w:r w:rsidR="00E2004B">
        <w:rPr>
          <w:rFonts w:ascii="Arial" w:hAnsi="Arial" w:cs="Arial"/>
        </w:rPr>
        <w:t>excavation</w:t>
      </w:r>
      <w:r w:rsidR="00B224DE">
        <w:rPr>
          <w:rFonts w:ascii="Arial" w:hAnsi="Arial" w:cs="Arial"/>
        </w:rPr>
        <w:t>, pour autant qu'il respecte la structure imposée.</w:t>
      </w:r>
    </w:p>
    <w:p w14:paraId="12AB1BEB" w14:textId="77777777" w:rsidR="007D3759" w:rsidRDefault="007D3759" w:rsidP="00024B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NB: </w:t>
      </w:r>
      <w:r w:rsidRPr="00DA01AC">
        <w:rPr>
          <w:rFonts w:ascii="Arial" w:hAnsi="Arial" w:cs="Arial"/>
          <w:b/>
          <w:color w:val="FF0000"/>
          <w:sz w:val="20"/>
          <w:szCs w:val="20"/>
        </w:rPr>
        <w:t>Les points surlignés en rouge sont rédhibitoires: si absent ou incomplet</w:t>
      </w:r>
      <w:r>
        <w:rPr>
          <w:rFonts w:ascii="Arial" w:hAnsi="Arial" w:cs="Arial"/>
          <w:b/>
          <w:color w:val="FF0000"/>
          <w:sz w:val="20"/>
          <w:szCs w:val="20"/>
        </w:rPr>
        <w:t>,</w:t>
      </w:r>
      <w:r w:rsidRPr="00DA01AC">
        <w:rPr>
          <w:rFonts w:ascii="Arial" w:hAnsi="Arial" w:cs="Arial"/>
          <w:b/>
          <w:color w:val="FF0000"/>
          <w:sz w:val="20"/>
          <w:szCs w:val="20"/>
        </w:rPr>
        <w:t xml:space="preserve"> la revue du rapport est </w:t>
      </w:r>
      <w:r>
        <w:rPr>
          <w:rFonts w:ascii="Arial" w:hAnsi="Arial" w:cs="Arial"/>
          <w:b/>
          <w:color w:val="FF0000"/>
          <w:sz w:val="20"/>
          <w:szCs w:val="20"/>
        </w:rPr>
        <w:t>stoppée, un courrier est envoyé</w:t>
      </w:r>
      <w:r w:rsidRPr="00DA01AC">
        <w:rPr>
          <w:rFonts w:ascii="Arial" w:hAnsi="Arial" w:cs="Arial"/>
          <w:b/>
          <w:color w:val="FF0000"/>
          <w:sz w:val="20"/>
          <w:szCs w:val="20"/>
        </w:rPr>
        <w:t xml:space="preserve"> au chef de projet responsable du dossier.</w:t>
      </w:r>
    </w:p>
    <w:p w14:paraId="495AD246" w14:textId="77777777" w:rsidR="00527934" w:rsidRPr="00DC620F" w:rsidRDefault="00527934" w:rsidP="00DC620F">
      <w:pPr>
        <w:spacing w:after="120"/>
        <w:outlineLvl w:val="0"/>
        <w:rPr>
          <w:rFonts w:ascii="Arial" w:hAnsi="Arial" w:cs="Arial"/>
          <w:b/>
          <w:color w:val="FF0000"/>
        </w:rPr>
      </w:pPr>
      <w:r w:rsidRPr="00DC620F">
        <w:rPr>
          <w:rFonts w:ascii="Arial" w:hAnsi="Arial" w:cs="Arial"/>
          <w:b/>
          <w:color w:val="FF0000"/>
        </w:rPr>
        <w:t>Cartouche CQ</w:t>
      </w:r>
    </w:p>
    <w:p w14:paraId="3C41A158" w14:textId="77777777" w:rsidR="00527934" w:rsidRPr="007D3759" w:rsidRDefault="00527934" w:rsidP="00527934">
      <w:pPr>
        <w:pStyle w:val="Paragraphedeliste"/>
        <w:numPr>
          <w:ilvl w:val="0"/>
          <w:numId w:val="3"/>
        </w:numPr>
        <w:spacing w:after="120"/>
        <w:outlineLvl w:val="1"/>
        <w:rPr>
          <w:rFonts w:ascii="Arial" w:hAnsi="Arial" w:cs="Arial"/>
          <w:i/>
          <w:color w:val="FF0000"/>
        </w:rPr>
      </w:pPr>
      <w:r w:rsidRPr="007D3759">
        <w:rPr>
          <w:rFonts w:ascii="Arial" w:hAnsi="Arial" w:cs="Arial"/>
          <w:i/>
          <w:color w:val="FF0000"/>
        </w:rPr>
        <w:t>Equipe de projet</w:t>
      </w:r>
      <w:r w:rsidR="002339CE" w:rsidRPr="007D3759">
        <w:rPr>
          <w:rFonts w:ascii="Arial" w:hAnsi="Arial" w:cs="Arial"/>
          <w:i/>
          <w:color w:val="FF0000"/>
        </w:rPr>
        <w:t xml:space="preserve"> </w:t>
      </w:r>
      <w:r w:rsidRPr="007D3759">
        <w:rPr>
          <w:rFonts w:ascii="Arial" w:hAnsi="Arial" w:cs="Arial"/>
          <w:i/>
          <w:color w:val="FF0000"/>
        </w:rPr>
        <w:t>: chef de projet et collaborateurs</w:t>
      </w:r>
    </w:p>
    <w:p w14:paraId="3CD7859C" w14:textId="77777777" w:rsidR="000C7F0D" w:rsidRDefault="000C7F0D" w:rsidP="00527934">
      <w:pPr>
        <w:pStyle w:val="Paragraphedeliste"/>
        <w:numPr>
          <w:ilvl w:val="0"/>
          <w:numId w:val="3"/>
        </w:numPr>
        <w:spacing w:after="120"/>
        <w:outlineLvl w:val="1"/>
        <w:rPr>
          <w:rFonts w:ascii="Arial" w:hAnsi="Arial" w:cs="Arial"/>
          <w:i/>
          <w:color w:val="FF0000"/>
        </w:rPr>
      </w:pPr>
      <w:r w:rsidRPr="007D3759">
        <w:rPr>
          <w:rFonts w:ascii="Arial" w:hAnsi="Arial" w:cs="Arial"/>
          <w:i/>
          <w:color w:val="FF0000"/>
        </w:rPr>
        <w:t>Adresse et contact du ou des propriétaire(s)</w:t>
      </w:r>
    </w:p>
    <w:p w14:paraId="332D86F1" w14:textId="77777777" w:rsidR="00527934" w:rsidRPr="007D3759" w:rsidRDefault="00527934" w:rsidP="00527934">
      <w:pPr>
        <w:pStyle w:val="Paragraphedeliste"/>
        <w:numPr>
          <w:ilvl w:val="0"/>
          <w:numId w:val="3"/>
        </w:numPr>
        <w:spacing w:after="120"/>
        <w:outlineLvl w:val="1"/>
        <w:rPr>
          <w:rFonts w:ascii="Arial" w:hAnsi="Arial" w:cs="Arial"/>
          <w:i/>
          <w:color w:val="FF0000"/>
        </w:rPr>
      </w:pPr>
      <w:r w:rsidRPr="007D3759">
        <w:rPr>
          <w:rFonts w:ascii="Arial" w:hAnsi="Arial" w:cs="Arial"/>
          <w:i/>
          <w:color w:val="FF0000"/>
        </w:rPr>
        <w:t>Responsable de la revue AQ</w:t>
      </w:r>
    </w:p>
    <w:p w14:paraId="749E9A26" w14:textId="77777777" w:rsidR="00527934" w:rsidRPr="007D3759" w:rsidRDefault="00527934" w:rsidP="00AF45E1">
      <w:pPr>
        <w:pStyle w:val="Paragraphedeliste"/>
        <w:numPr>
          <w:ilvl w:val="0"/>
          <w:numId w:val="3"/>
        </w:numPr>
        <w:spacing w:after="120"/>
        <w:ind w:hanging="357"/>
        <w:contextualSpacing w:val="0"/>
        <w:outlineLvl w:val="1"/>
        <w:rPr>
          <w:rFonts w:ascii="Arial" w:hAnsi="Arial" w:cs="Arial"/>
          <w:i/>
          <w:color w:val="FF0000"/>
        </w:rPr>
      </w:pPr>
      <w:r w:rsidRPr="007D3759">
        <w:rPr>
          <w:rFonts w:ascii="Arial" w:hAnsi="Arial" w:cs="Arial"/>
          <w:i/>
          <w:color w:val="FF0000"/>
        </w:rPr>
        <w:t>Versions, dates, etc…</w:t>
      </w:r>
    </w:p>
    <w:p w14:paraId="038C9267" w14:textId="77777777" w:rsidR="00DE3F91" w:rsidRDefault="004C3A17" w:rsidP="00A94DB9">
      <w:pPr>
        <w:pStyle w:val="Paragraphedeliste"/>
        <w:numPr>
          <w:ilvl w:val="0"/>
          <w:numId w:val="1"/>
        </w:numPr>
        <w:spacing w:after="120"/>
        <w:ind w:left="357" w:hanging="357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Situation et contexte constructif</w:t>
      </w:r>
      <w:r w:rsidR="009E28F3">
        <w:rPr>
          <w:rFonts w:ascii="Arial" w:hAnsi="Arial" w:cs="Arial"/>
          <w:b/>
        </w:rPr>
        <w:t xml:space="preserve"> </w:t>
      </w:r>
      <w:r w:rsidR="0069745A">
        <w:rPr>
          <w:rFonts w:ascii="Arial" w:hAnsi="Arial" w:cs="Arial"/>
          <w:b/>
        </w:rPr>
        <w:t>succinct</w:t>
      </w:r>
    </w:p>
    <w:p w14:paraId="42D930CA" w14:textId="77777777" w:rsidR="004C3A17" w:rsidRDefault="004C3A17" w:rsidP="004C3A17">
      <w:pPr>
        <w:spacing w:after="120"/>
        <w:outlineLvl w:val="1"/>
        <w:rPr>
          <w:rFonts w:ascii="Arial" w:hAnsi="Arial" w:cs="Arial"/>
          <w:i/>
        </w:rPr>
      </w:pPr>
      <w:r>
        <w:rPr>
          <w:rFonts w:ascii="Arial" w:hAnsi="Arial" w:cs="Arial"/>
          <w:i/>
        </w:rPr>
        <w:t>Sous forme tabulaire</w:t>
      </w: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4950"/>
        <w:gridCol w:w="4950"/>
      </w:tblGrid>
      <w:tr w:rsidR="004C3A17" w14:paraId="37BD4E9E" w14:textId="77777777" w:rsidTr="004C3A17">
        <w:tc>
          <w:tcPr>
            <w:tcW w:w="4950" w:type="dxa"/>
          </w:tcPr>
          <w:p w14:paraId="21319824" w14:textId="77777777" w:rsidR="004C3A17" w:rsidRDefault="004C3A17" w:rsidP="004C3A17">
            <w:pPr>
              <w:spacing w:after="120"/>
              <w:outlineLvl w:val="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Informations requises</w:t>
            </w:r>
          </w:p>
        </w:tc>
        <w:tc>
          <w:tcPr>
            <w:tcW w:w="4950" w:type="dxa"/>
          </w:tcPr>
          <w:p w14:paraId="06A65FFE" w14:textId="77777777" w:rsidR="004C3A17" w:rsidRDefault="004C3A17" w:rsidP="004C3A17">
            <w:pPr>
              <w:spacing w:after="120"/>
              <w:outlineLvl w:val="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Remarques</w:t>
            </w:r>
          </w:p>
        </w:tc>
      </w:tr>
      <w:tr w:rsidR="004C3A17" w14:paraId="76B282CA" w14:textId="77777777" w:rsidTr="004C3A17">
        <w:tc>
          <w:tcPr>
            <w:tcW w:w="4950" w:type="dxa"/>
          </w:tcPr>
          <w:p w14:paraId="747DD7D7" w14:textId="77777777" w:rsidR="004C3A17" w:rsidRDefault="00767257" w:rsidP="004C3A17">
            <w:pPr>
              <w:spacing w:after="120"/>
              <w:outlineLvl w:val="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N° Autorisation (DD, APA, ..)</w:t>
            </w:r>
          </w:p>
        </w:tc>
        <w:tc>
          <w:tcPr>
            <w:tcW w:w="4950" w:type="dxa"/>
          </w:tcPr>
          <w:p w14:paraId="1ACE4825" w14:textId="77777777" w:rsidR="004C3A17" w:rsidRDefault="004C3A17" w:rsidP="004C3A17">
            <w:pPr>
              <w:spacing w:after="120"/>
              <w:outlineLvl w:val="1"/>
              <w:rPr>
                <w:rFonts w:ascii="Arial" w:hAnsi="Arial" w:cs="Arial"/>
                <w:i/>
              </w:rPr>
            </w:pPr>
          </w:p>
        </w:tc>
      </w:tr>
      <w:tr w:rsidR="004C3A17" w14:paraId="2AAC215D" w14:textId="77777777" w:rsidTr="004C3A17">
        <w:tc>
          <w:tcPr>
            <w:tcW w:w="4950" w:type="dxa"/>
          </w:tcPr>
          <w:p w14:paraId="395066EF" w14:textId="77777777" w:rsidR="004C3A17" w:rsidRDefault="004C3A17" w:rsidP="004C3A17">
            <w:pPr>
              <w:spacing w:after="120"/>
              <w:outlineLvl w:val="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Parcelles concernées</w:t>
            </w:r>
          </w:p>
        </w:tc>
        <w:tc>
          <w:tcPr>
            <w:tcW w:w="4950" w:type="dxa"/>
          </w:tcPr>
          <w:p w14:paraId="5C89B9DC" w14:textId="77777777" w:rsidR="004C3A17" w:rsidRDefault="00767257" w:rsidP="004C3A17">
            <w:pPr>
              <w:spacing w:after="120"/>
              <w:outlineLvl w:val="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Plan cadastral en annexe</w:t>
            </w:r>
          </w:p>
        </w:tc>
      </w:tr>
      <w:tr w:rsidR="004C3A17" w14:paraId="5A5DED64" w14:textId="77777777" w:rsidTr="004C3A17">
        <w:tc>
          <w:tcPr>
            <w:tcW w:w="4950" w:type="dxa"/>
          </w:tcPr>
          <w:p w14:paraId="2888AA9A" w14:textId="77777777" w:rsidR="004C3A17" w:rsidRDefault="004C3A17" w:rsidP="00767257">
            <w:pPr>
              <w:spacing w:after="120"/>
              <w:outlineLvl w:val="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Sites pollués concernés </w:t>
            </w:r>
          </w:p>
        </w:tc>
        <w:tc>
          <w:tcPr>
            <w:tcW w:w="4950" w:type="dxa"/>
          </w:tcPr>
          <w:p w14:paraId="1E05AA2B" w14:textId="77777777" w:rsidR="004C3A17" w:rsidRDefault="00767257" w:rsidP="004C3A17">
            <w:pPr>
              <w:spacing w:after="120"/>
              <w:outlineLvl w:val="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n°officiel (par ex: 450.2003.001), et non le n°GSIPOL</w:t>
            </w:r>
          </w:p>
        </w:tc>
      </w:tr>
      <w:tr w:rsidR="004C3A17" w14:paraId="3133981F" w14:textId="77777777" w:rsidTr="004C3A17">
        <w:tc>
          <w:tcPr>
            <w:tcW w:w="4950" w:type="dxa"/>
          </w:tcPr>
          <w:p w14:paraId="6068F0E4" w14:textId="77777777" w:rsidR="004C3A17" w:rsidRDefault="00767257" w:rsidP="004C3A17">
            <w:pPr>
              <w:spacing w:after="120"/>
              <w:outlineLvl w:val="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Références exactes du Diagnostic de pollution OLED/OSites réalisé</w:t>
            </w:r>
          </w:p>
        </w:tc>
        <w:tc>
          <w:tcPr>
            <w:tcW w:w="4950" w:type="dxa"/>
          </w:tcPr>
          <w:p w14:paraId="34EE3352" w14:textId="77777777" w:rsidR="004C3A17" w:rsidRDefault="004C3A17" w:rsidP="004C3A17">
            <w:pPr>
              <w:spacing w:after="120"/>
              <w:outlineLvl w:val="1"/>
              <w:rPr>
                <w:rFonts w:ascii="Arial" w:hAnsi="Arial" w:cs="Arial"/>
                <w:i/>
              </w:rPr>
            </w:pPr>
          </w:p>
        </w:tc>
      </w:tr>
      <w:tr w:rsidR="004C3A17" w14:paraId="298EF6AA" w14:textId="77777777" w:rsidTr="004C3A17">
        <w:tc>
          <w:tcPr>
            <w:tcW w:w="4950" w:type="dxa"/>
          </w:tcPr>
          <w:p w14:paraId="235FB41B" w14:textId="49ED2F7B" w:rsidR="004C3A17" w:rsidRDefault="00767257" w:rsidP="004C3A17">
            <w:pPr>
              <w:spacing w:after="120"/>
              <w:outlineLvl w:val="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Polluants identifiés à l'occasion du Dia</w:t>
            </w:r>
            <w:r w:rsidR="00E67B98">
              <w:rPr>
                <w:rFonts w:ascii="Arial" w:hAnsi="Arial" w:cs="Arial"/>
                <w:i/>
              </w:rPr>
              <w:t>g</w:t>
            </w:r>
            <w:r>
              <w:rPr>
                <w:rFonts w:ascii="Arial" w:hAnsi="Arial" w:cs="Arial"/>
                <w:i/>
              </w:rPr>
              <w:t>nostic OLED</w:t>
            </w:r>
          </w:p>
        </w:tc>
        <w:tc>
          <w:tcPr>
            <w:tcW w:w="4950" w:type="dxa"/>
          </w:tcPr>
          <w:p w14:paraId="298D374B" w14:textId="77777777" w:rsidR="004C3A17" w:rsidRDefault="00D574C1" w:rsidP="004C3A17">
            <w:pPr>
              <w:spacing w:after="120"/>
              <w:outlineLvl w:val="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Plan de pollution en annexe</w:t>
            </w:r>
          </w:p>
        </w:tc>
      </w:tr>
      <w:tr w:rsidR="00AA68DC" w14:paraId="25211BE5" w14:textId="77777777" w:rsidTr="004C3A17">
        <w:tc>
          <w:tcPr>
            <w:tcW w:w="4950" w:type="dxa"/>
          </w:tcPr>
          <w:p w14:paraId="6C9996FF" w14:textId="77777777" w:rsidR="00AA68DC" w:rsidRDefault="00AA68DC" w:rsidP="004C3A17">
            <w:pPr>
              <w:spacing w:after="120"/>
              <w:outlineLvl w:val="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Références courrier/ courriel de validation du CdC du GESDEC/SSP</w:t>
            </w:r>
          </w:p>
        </w:tc>
        <w:tc>
          <w:tcPr>
            <w:tcW w:w="4950" w:type="dxa"/>
          </w:tcPr>
          <w:p w14:paraId="5B429A2A" w14:textId="77777777" w:rsidR="00AA68DC" w:rsidRDefault="00AA68DC" w:rsidP="00AA68DC">
            <w:pPr>
              <w:spacing w:after="120"/>
              <w:outlineLvl w:val="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Courrier/ courriel GESDEC/SSP en annexe</w:t>
            </w:r>
          </w:p>
        </w:tc>
      </w:tr>
      <w:tr w:rsidR="004C3A17" w14:paraId="728D4411" w14:textId="77777777" w:rsidTr="004C3A17">
        <w:tc>
          <w:tcPr>
            <w:tcW w:w="4950" w:type="dxa"/>
          </w:tcPr>
          <w:p w14:paraId="0237E37B" w14:textId="77777777" w:rsidR="004C3A17" w:rsidRDefault="00767257" w:rsidP="004C3A17">
            <w:pPr>
              <w:spacing w:after="120"/>
              <w:outlineLvl w:val="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Calendrier des excavations</w:t>
            </w:r>
            <w:r w:rsidR="009E28BC">
              <w:rPr>
                <w:rFonts w:ascii="Arial" w:hAnsi="Arial" w:cs="Arial"/>
                <w:i/>
              </w:rPr>
              <w:t xml:space="preserve"> réalisées</w:t>
            </w:r>
          </w:p>
        </w:tc>
        <w:tc>
          <w:tcPr>
            <w:tcW w:w="4950" w:type="dxa"/>
          </w:tcPr>
          <w:p w14:paraId="351E9D82" w14:textId="77777777" w:rsidR="004C3A17" w:rsidRDefault="004C3A17" w:rsidP="004C3A17">
            <w:pPr>
              <w:spacing w:after="120"/>
              <w:outlineLvl w:val="1"/>
              <w:rPr>
                <w:rFonts w:ascii="Arial" w:hAnsi="Arial" w:cs="Arial"/>
                <w:i/>
              </w:rPr>
            </w:pPr>
          </w:p>
        </w:tc>
      </w:tr>
    </w:tbl>
    <w:p w14:paraId="307927BA" w14:textId="77777777" w:rsidR="004C3A17" w:rsidRPr="00DC620F" w:rsidRDefault="004C3A17" w:rsidP="004C3A17">
      <w:pPr>
        <w:spacing w:after="120"/>
        <w:outlineLvl w:val="1"/>
        <w:rPr>
          <w:rFonts w:ascii="Arial" w:hAnsi="Arial" w:cs="Arial"/>
          <w:i/>
        </w:rPr>
      </w:pPr>
    </w:p>
    <w:p w14:paraId="32F5E59C" w14:textId="77777777" w:rsidR="00DE3F91" w:rsidRDefault="00402267" w:rsidP="007D3759">
      <w:pPr>
        <w:pStyle w:val="Paragraphedeliste"/>
        <w:numPr>
          <w:ilvl w:val="0"/>
          <w:numId w:val="1"/>
        </w:numPr>
        <w:spacing w:before="360" w:after="120"/>
        <w:ind w:left="357" w:hanging="357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Investigations</w:t>
      </w:r>
      <w:r w:rsidR="00AA3E2F">
        <w:rPr>
          <w:rFonts w:ascii="Arial" w:hAnsi="Arial" w:cs="Arial"/>
          <w:b/>
        </w:rPr>
        <w:t xml:space="preserve"> effectué</w:t>
      </w:r>
      <w:r>
        <w:rPr>
          <w:rFonts w:ascii="Arial" w:hAnsi="Arial" w:cs="Arial"/>
          <w:b/>
        </w:rPr>
        <w:t>e</w:t>
      </w:r>
      <w:r w:rsidR="00AA3E2F">
        <w:rPr>
          <w:rFonts w:ascii="Arial" w:hAnsi="Arial" w:cs="Arial"/>
          <w:b/>
        </w:rPr>
        <w:t>s</w:t>
      </w:r>
    </w:p>
    <w:p w14:paraId="1E765FC0" w14:textId="77777777" w:rsidR="00F709AF" w:rsidRPr="00DC620F" w:rsidRDefault="0098461D" w:rsidP="00DC620F">
      <w:pPr>
        <w:pStyle w:val="Paragraphedeliste"/>
        <w:numPr>
          <w:ilvl w:val="1"/>
          <w:numId w:val="1"/>
        </w:numPr>
        <w:spacing w:after="120"/>
        <w:contextualSpacing w:val="0"/>
        <w:outlineLvl w:val="1"/>
        <w:rPr>
          <w:rFonts w:ascii="Arial" w:hAnsi="Arial" w:cs="Arial"/>
        </w:rPr>
      </w:pPr>
      <w:r w:rsidRPr="00DC620F">
        <w:rPr>
          <w:rFonts w:ascii="Arial" w:hAnsi="Arial" w:cs="Arial"/>
        </w:rPr>
        <w:t>Cahier des charges initial/réalisé</w:t>
      </w:r>
    </w:p>
    <w:p w14:paraId="3E440691" w14:textId="77777777" w:rsidR="009E28BC" w:rsidRPr="009E28BC" w:rsidRDefault="0098461D" w:rsidP="009E28BC">
      <w:pPr>
        <w:pStyle w:val="Paragraphedeliste"/>
        <w:numPr>
          <w:ilvl w:val="0"/>
          <w:numId w:val="11"/>
        </w:numPr>
        <w:spacing w:after="120"/>
        <w:contextualSpacing w:val="0"/>
        <w:rPr>
          <w:rFonts w:ascii="Arial" w:hAnsi="Arial" w:cs="Arial"/>
          <w:i/>
          <w:color w:val="FF0000"/>
        </w:rPr>
      </w:pPr>
      <w:r w:rsidRPr="007D3759">
        <w:rPr>
          <w:rFonts w:ascii="Arial" w:hAnsi="Arial" w:cs="Arial"/>
          <w:i/>
          <w:color w:val="FF0000"/>
        </w:rPr>
        <w:t>Respect du cahier des charges initial en comparaison à celui réalisé, justification des éventuelles modifications</w:t>
      </w:r>
    </w:p>
    <w:p w14:paraId="52BCBCE5" w14:textId="77777777" w:rsidR="0098461D" w:rsidRDefault="009E28BC" w:rsidP="0098461D">
      <w:pPr>
        <w:pStyle w:val="Paragraphedeliste"/>
        <w:numPr>
          <w:ilvl w:val="0"/>
          <w:numId w:val="11"/>
        </w:numPr>
        <w:spacing w:after="12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Faits nouveaux éventuels. </w:t>
      </w:r>
      <w:r>
        <w:rPr>
          <w:rFonts w:ascii="Arial" w:hAnsi="Arial" w:cs="Arial"/>
          <w:i/>
        </w:rPr>
        <w:t>Le cas échéant mesures correctives appliquées</w:t>
      </w:r>
    </w:p>
    <w:p w14:paraId="2DA77D53" w14:textId="77777777" w:rsidR="0098461D" w:rsidRDefault="0098461D" w:rsidP="009E28BC">
      <w:pPr>
        <w:pStyle w:val="Paragraphedeliste"/>
        <w:numPr>
          <w:ilvl w:val="1"/>
          <w:numId w:val="1"/>
        </w:numPr>
        <w:spacing w:before="240" w:after="120"/>
        <w:ind w:left="788" w:hanging="431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Prélèvement d'échantillons</w:t>
      </w:r>
    </w:p>
    <w:p w14:paraId="0D7FB4B8" w14:textId="77777777" w:rsidR="0098461D" w:rsidRDefault="0098461D" w:rsidP="0098461D">
      <w:pPr>
        <w:pStyle w:val="Paragraphedeliste"/>
        <w:numPr>
          <w:ilvl w:val="0"/>
          <w:numId w:val="12"/>
        </w:numPr>
        <w:spacing w:after="120"/>
        <w:ind w:left="1508" w:hanging="357"/>
        <w:jc w:val="both"/>
        <w:rPr>
          <w:rFonts w:ascii="Arial" w:hAnsi="Arial" w:cs="Arial"/>
          <w:i/>
          <w:color w:val="FF0000"/>
        </w:rPr>
      </w:pPr>
      <w:r w:rsidRPr="00E05C2E">
        <w:rPr>
          <w:rFonts w:ascii="Arial" w:hAnsi="Arial" w:cs="Arial"/>
          <w:i/>
          <w:color w:val="FF0000"/>
        </w:rPr>
        <w:t>Description du contexte des échantillonnages</w:t>
      </w:r>
      <w:r w:rsidR="007842DC">
        <w:rPr>
          <w:rFonts w:ascii="Arial" w:hAnsi="Arial" w:cs="Arial"/>
          <w:i/>
          <w:color w:val="FF0000"/>
        </w:rPr>
        <w:t xml:space="preserve"> (météorologique</w:t>
      </w:r>
      <w:r w:rsidR="009E28BC">
        <w:rPr>
          <w:rFonts w:ascii="Arial" w:hAnsi="Arial" w:cs="Arial"/>
          <w:i/>
          <w:color w:val="FF0000"/>
        </w:rPr>
        <w:t>)</w:t>
      </w:r>
    </w:p>
    <w:p w14:paraId="7744A8F8" w14:textId="77777777" w:rsidR="002A79C5" w:rsidRDefault="002A79C5" w:rsidP="002A79C5">
      <w:pPr>
        <w:pStyle w:val="Paragraphedeliste"/>
        <w:numPr>
          <w:ilvl w:val="0"/>
          <w:numId w:val="12"/>
        </w:numPr>
        <w:spacing w:after="120"/>
        <w:ind w:left="1508"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>Pour les échantillons solides, stratégie d'échantillonnage, horizon</w:t>
      </w:r>
      <w:r w:rsidR="00EC7A8F">
        <w:rPr>
          <w:rFonts w:ascii="Arial" w:hAnsi="Arial" w:cs="Arial"/>
          <w:i/>
          <w:color w:val="FF0000"/>
        </w:rPr>
        <w:t xml:space="preserve"> géologique</w:t>
      </w:r>
      <w:r w:rsidRPr="003C0FCA">
        <w:rPr>
          <w:rFonts w:ascii="Arial" w:hAnsi="Arial" w:cs="Arial"/>
          <w:i/>
          <w:color w:val="FF0000"/>
        </w:rPr>
        <w:t xml:space="preserve"> représentatif de l'échantillon.</w:t>
      </w:r>
    </w:p>
    <w:p w14:paraId="20131FCB" w14:textId="77777777" w:rsidR="00D320EB" w:rsidRPr="003C0FCA" w:rsidRDefault="00D320EB" w:rsidP="0098461D">
      <w:pPr>
        <w:pStyle w:val="Paragraphedeliste"/>
        <w:numPr>
          <w:ilvl w:val="0"/>
          <w:numId w:val="12"/>
        </w:numPr>
        <w:spacing w:after="0"/>
        <w:ind w:left="1508"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 xml:space="preserve">Coordonnées </w:t>
      </w:r>
      <w:r w:rsidR="007D3759" w:rsidRPr="003C0FCA">
        <w:rPr>
          <w:rFonts w:ascii="Arial" w:hAnsi="Arial" w:cs="Arial"/>
          <w:i/>
          <w:color w:val="FF0000"/>
        </w:rPr>
        <w:t>(CH)</w:t>
      </w:r>
      <w:r w:rsidRPr="003C0FCA">
        <w:rPr>
          <w:rFonts w:ascii="Arial" w:hAnsi="Arial" w:cs="Arial"/>
          <w:i/>
          <w:color w:val="FF0000"/>
        </w:rPr>
        <w:t xml:space="preserve"> des points de prélèvement</w:t>
      </w:r>
      <w:r w:rsidR="002A79C5">
        <w:rPr>
          <w:rFonts w:ascii="Arial" w:hAnsi="Arial" w:cs="Arial"/>
          <w:i/>
          <w:color w:val="FF0000"/>
        </w:rPr>
        <w:t>.</w:t>
      </w:r>
    </w:p>
    <w:p w14:paraId="18B75F3A" w14:textId="77777777" w:rsidR="0098461D" w:rsidRPr="003C0FCA" w:rsidRDefault="0098461D" w:rsidP="00D320EB">
      <w:pPr>
        <w:pStyle w:val="Paragraphedeliste"/>
        <w:numPr>
          <w:ilvl w:val="0"/>
          <w:numId w:val="12"/>
        </w:numPr>
        <w:spacing w:after="0"/>
        <w:ind w:left="1508"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 xml:space="preserve">Protocoles de prélèvements, de décontamination du matériel, bordereaux de calibration des appareils, conditionnements des échantillons et bordereaux de terrain en annexe (y c. le cas échéant au format informatique spécifié – </w:t>
      </w:r>
      <w:r w:rsidR="004529EB">
        <w:rPr>
          <w:rFonts w:ascii="Arial" w:hAnsi="Arial" w:cs="Arial"/>
          <w:i/>
          <w:color w:val="FF0000"/>
        </w:rPr>
        <w:t xml:space="preserve">EDD bureaux/ </w:t>
      </w:r>
      <w:r w:rsidRPr="003C0FCA">
        <w:rPr>
          <w:rFonts w:ascii="Arial" w:hAnsi="Arial" w:cs="Arial"/>
          <w:i/>
          <w:color w:val="FF0000"/>
        </w:rPr>
        <w:t>onglets "échantillons"), en annexe.</w:t>
      </w:r>
    </w:p>
    <w:p w14:paraId="4DCCFB8D" w14:textId="77777777" w:rsidR="00D320EB" w:rsidRPr="003C0FCA" w:rsidRDefault="002A79C5" w:rsidP="0098461D">
      <w:pPr>
        <w:pStyle w:val="Paragraphedeliste"/>
        <w:numPr>
          <w:ilvl w:val="0"/>
          <w:numId w:val="12"/>
        </w:numPr>
        <w:spacing w:after="120"/>
        <w:ind w:left="1508"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7D3759">
        <w:rPr>
          <w:rFonts w:ascii="Arial" w:hAnsi="Arial" w:cs="Arial"/>
          <w:i/>
          <w:color w:val="FF0000"/>
        </w:rPr>
        <w:t>Contrôles qualité ré</w:t>
      </w:r>
      <w:r w:rsidR="009E28BC">
        <w:rPr>
          <w:rFonts w:ascii="Arial" w:hAnsi="Arial" w:cs="Arial"/>
          <w:i/>
          <w:color w:val="FF0000"/>
        </w:rPr>
        <w:t xml:space="preserve">alisés sur les échantillonnages </w:t>
      </w:r>
      <w:r w:rsidRPr="007D3759">
        <w:rPr>
          <w:rFonts w:ascii="Arial" w:hAnsi="Arial" w:cs="Arial"/>
          <w:i/>
          <w:color w:val="FF0000"/>
        </w:rPr>
        <w:t>et évaluation des biais à considérer (représentativité, contaminatio</w:t>
      </w:r>
      <w:r w:rsidR="009E28BC">
        <w:rPr>
          <w:rFonts w:ascii="Arial" w:hAnsi="Arial" w:cs="Arial"/>
          <w:i/>
          <w:color w:val="FF0000"/>
        </w:rPr>
        <w:t>n croisée, blancs de transport.</w:t>
      </w:r>
      <w:r w:rsidRPr="007D3759">
        <w:rPr>
          <w:rFonts w:ascii="Arial" w:hAnsi="Arial" w:cs="Arial"/>
          <w:i/>
          <w:color w:val="FF0000"/>
        </w:rPr>
        <w:t xml:space="preserve"> Prise de position claire sur la qualité des échantillonnages en regard de l'interprétation.</w:t>
      </w:r>
    </w:p>
    <w:p w14:paraId="4BDB3500" w14:textId="77777777" w:rsidR="0098461D" w:rsidRDefault="0098461D" w:rsidP="00DC620F">
      <w:pPr>
        <w:pStyle w:val="Paragraphedeliste"/>
        <w:numPr>
          <w:ilvl w:val="1"/>
          <w:numId w:val="1"/>
        </w:numPr>
        <w:spacing w:after="120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Analyses en laboratoire</w:t>
      </w:r>
    </w:p>
    <w:p w14:paraId="338D269B" w14:textId="77777777" w:rsidR="0098461D" w:rsidRPr="003C0FCA" w:rsidRDefault="0098461D" w:rsidP="0098461D">
      <w:pPr>
        <w:pStyle w:val="Paragraphedeliste"/>
        <w:numPr>
          <w:ilvl w:val="0"/>
          <w:numId w:val="12"/>
        </w:numPr>
        <w:spacing w:after="0"/>
        <w:ind w:left="1508" w:hanging="357"/>
        <w:contextualSpacing w:val="0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>Contrôles qualité réalisés sur les analyses et évaluation des biais à considérer (blancs de laboratoire, temps d'attente, etc…). Prise de position claire sur la qualité des analyses en regard de l'interprétation.</w:t>
      </w:r>
    </w:p>
    <w:p w14:paraId="490EC779" w14:textId="77777777" w:rsidR="00504791" w:rsidRPr="00CC3C3F" w:rsidRDefault="00504791" w:rsidP="00504791">
      <w:pPr>
        <w:pStyle w:val="Paragraphedeliste"/>
        <w:numPr>
          <w:ilvl w:val="0"/>
          <w:numId w:val="12"/>
        </w:numPr>
        <w:spacing w:after="120"/>
        <w:ind w:left="1508" w:hanging="357"/>
        <w:contextualSpacing w:val="0"/>
        <w:jc w:val="both"/>
        <w:rPr>
          <w:rFonts w:ascii="Arial" w:hAnsi="Arial" w:cs="Arial"/>
          <w:color w:val="FF0000"/>
        </w:rPr>
      </w:pPr>
      <w:r w:rsidRPr="00CC3C3F">
        <w:rPr>
          <w:rFonts w:ascii="Arial" w:hAnsi="Arial" w:cs="Arial"/>
          <w:i/>
          <w:color w:val="FF0000"/>
        </w:rPr>
        <w:t>Rapports d'analyses du laboratoire en annexe (y c. le cas échéant au format informatique spécifié – EDD laboratoire</w:t>
      </w:r>
      <w:r>
        <w:rPr>
          <w:rFonts w:ascii="Arial" w:hAnsi="Arial" w:cs="Arial"/>
          <w:i/>
          <w:color w:val="FF0000"/>
        </w:rPr>
        <w:t>, limites de quantification et incertitudes reportées sur les résultats</w:t>
      </w:r>
      <w:r w:rsidRPr="00CC3C3F">
        <w:rPr>
          <w:rFonts w:ascii="Arial" w:hAnsi="Arial" w:cs="Arial"/>
          <w:i/>
          <w:color w:val="FF0000"/>
        </w:rPr>
        <w:t>), en annexe.</w:t>
      </w:r>
    </w:p>
    <w:p w14:paraId="57074B84" w14:textId="77777777" w:rsidR="003B5F17" w:rsidRDefault="00216D19" w:rsidP="009E28BC">
      <w:pPr>
        <w:pStyle w:val="Paragraphedeliste"/>
        <w:numPr>
          <w:ilvl w:val="0"/>
          <w:numId w:val="5"/>
        </w:numPr>
        <w:spacing w:before="240" w:after="120"/>
        <w:ind w:left="357" w:hanging="357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Résultats de l’investigation</w:t>
      </w:r>
    </w:p>
    <w:p w14:paraId="4DE8E9A2" w14:textId="77777777" w:rsidR="00196E57" w:rsidRPr="00196E57" w:rsidRDefault="009E28BC" w:rsidP="00A94DB9">
      <w:pPr>
        <w:pStyle w:val="Paragraphedeliste"/>
        <w:numPr>
          <w:ilvl w:val="1"/>
          <w:numId w:val="5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Géologie</w:t>
      </w:r>
    </w:p>
    <w:p w14:paraId="7B57CE27" w14:textId="77777777" w:rsidR="009E28BC" w:rsidRDefault="00196E57">
      <w:pPr>
        <w:pStyle w:val="Paragraphedeliste"/>
        <w:numPr>
          <w:ilvl w:val="0"/>
          <w:numId w:val="6"/>
        </w:numPr>
        <w:spacing w:after="120"/>
        <w:ind w:left="1508" w:hanging="357"/>
        <w:rPr>
          <w:rFonts w:ascii="Arial" w:hAnsi="Arial" w:cs="Arial"/>
          <w:i/>
        </w:rPr>
      </w:pPr>
      <w:r w:rsidRPr="00196E57">
        <w:rPr>
          <w:rFonts w:ascii="Arial" w:hAnsi="Arial" w:cs="Arial"/>
          <w:i/>
        </w:rPr>
        <w:t xml:space="preserve">Description </w:t>
      </w:r>
      <w:r w:rsidR="00EC7A8F">
        <w:rPr>
          <w:rFonts w:ascii="Arial" w:hAnsi="Arial" w:cs="Arial"/>
          <w:i/>
        </w:rPr>
        <w:t xml:space="preserve">succincte </w:t>
      </w:r>
      <w:r w:rsidR="005A3CB2">
        <w:rPr>
          <w:rFonts w:ascii="Arial" w:hAnsi="Arial" w:cs="Arial"/>
          <w:i/>
        </w:rPr>
        <w:t>du sous-sol</w:t>
      </w:r>
    </w:p>
    <w:p w14:paraId="728CBA5B" w14:textId="77777777" w:rsidR="00585262" w:rsidRPr="00AD2EB2" w:rsidRDefault="00151812">
      <w:pPr>
        <w:pStyle w:val="Paragraphedeliste"/>
        <w:numPr>
          <w:ilvl w:val="0"/>
          <w:numId w:val="6"/>
        </w:numPr>
        <w:spacing w:after="120"/>
        <w:ind w:left="1508" w:hanging="357"/>
        <w:rPr>
          <w:rFonts w:ascii="Arial" w:hAnsi="Arial" w:cs="Arial"/>
          <w:i/>
        </w:rPr>
      </w:pPr>
      <w:r>
        <w:rPr>
          <w:rFonts w:ascii="Arial" w:hAnsi="Arial" w:cs="Arial"/>
          <w:i/>
        </w:rPr>
        <w:t>Selon la complexité du site: c</w:t>
      </w:r>
      <w:r w:rsidR="00EC7A8F">
        <w:rPr>
          <w:rFonts w:ascii="Arial" w:hAnsi="Arial" w:cs="Arial"/>
          <w:i/>
        </w:rPr>
        <w:t xml:space="preserve">oupe </w:t>
      </w:r>
      <w:r>
        <w:rPr>
          <w:rFonts w:ascii="Arial" w:hAnsi="Arial" w:cs="Arial"/>
          <w:i/>
        </w:rPr>
        <w:t>géologique</w:t>
      </w:r>
      <w:r w:rsidR="009E28BC">
        <w:rPr>
          <w:rFonts w:ascii="Arial" w:hAnsi="Arial" w:cs="Arial"/>
          <w:i/>
        </w:rPr>
        <w:t xml:space="preserve"> permettant d'illustrer la position </w:t>
      </w:r>
      <w:r w:rsidR="00EC7A8F">
        <w:rPr>
          <w:rFonts w:ascii="Arial" w:hAnsi="Arial" w:cs="Arial"/>
          <w:i/>
        </w:rPr>
        <w:t>des excavations</w:t>
      </w:r>
      <w:r w:rsidR="009E28BC">
        <w:rPr>
          <w:rFonts w:ascii="Arial" w:hAnsi="Arial" w:cs="Arial"/>
          <w:i/>
        </w:rPr>
        <w:t xml:space="preserve"> réalisées dans la géologie locale. En particulier</w:t>
      </w:r>
      <w:r w:rsidR="00EC7A8F">
        <w:rPr>
          <w:rFonts w:ascii="Arial" w:hAnsi="Arial" w:cs="Arial"/>
          <w:i/>
        </w:rPr>
        <w:t>, le cas échéant,</w:t>
      </w:r>
      <w:r w:rsidR="009E28BC">
        <w:rPr>
          <w:rFonts w:ascii="Arial" w:hAnsi="Arial" w:cs="Arial"/>
          <w:i/>
        </w:rPr>
        <w:t xml:space="preserve"> il est important d'identifier les secteurs qui contiennent des remblais</w:t>
      </w:r>
      <w:r w:rsidR="00EC7A8F">
        <w:rPr>
          <w:rFonts w:ascii="Arial" w:hAnsi="Arial" w:cs="Arial"/>
          <w:i/>
        </w:rPr>
        <w:t xml:space="preserve"> résiduels qui sont à intégrer sur le plan de synthèse.</w:t>
      </w:r>
    </w:p>
    <w:p w14:paraId="1BD62F92" w14:textId="77777777" w:rsidR="005A3CB2" w:rsidRDefault="005A3CB2" w:rsidP="00151812">
      <w:pPr>
        <w:pStyle w:val="Paragraphedeliste"/>
        <w:numPr>
          <w:ilvl w:val="1"/>
          <w:numId w:val="5"/>
        </w:numPr>
        <w:spacing w:before="240" w:after="120"/>
        <w:ind w:left="788" w:hanging="43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Résultats des </w:t>
      </w:r>
      <w:r w:rsidR="00EC7A8F">
        <w:rPr>
          <w:rFonts w:ascii="Arial" w:hAnsi="Arial" w:cs="Arial"/>
        </w:rPr>
        <w:t>mesures in-situ</w:t>
      </w:r>
      <w:r w:rsidR="00585262">
        <w:rPr>
          <w:rFonts w:ascii="Arial" w:hAnsi="Arial" w:cs="Arial"/>
        </w:rPr>
        <w:t xml:space="preserve"> et </w:t>
      </w:r>
      <w:r>
        <w:rPr>
          <w:rFonts w:ascii="Arial" w:hAnsi="Arial" w:cs="Arial"/>
        </w:rPr>
        <w:t>analyses</w:t>
      </w:r>
    </w:p>
    <w:p w14:paraId="02EBA6EB" w14:textId="77777777" w:rsidR="001227D3" w:rsidRDefault="00585262" w:rsidP="00AD2EB2">
      <w:pPr>
        <w:pStyle w:val="Paragraphedeliste"/>
        <w:numPr>
          <w:ilvl w:val="0"/>
          <w:numId w:val="13"/>
        </w:numPr>
        <w:spacing w:after="120"/>
        <w:ind w:left="1508" w:hanging="357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Récapitulation des </w:t>
      </w:r>
      <w:r w:rsidR="00EC7A8F">
        <w:rPr>
          <w:rFonts w:ascii="Arial" w:hAnsi="Arial" w:cs="Arial"/>
          <w:i/>
        </w:rPr>
        <w:t>mesures in-situ réalisées (PID,..), résultats et commentaires</w:t>
      </w:r>
    </w:p>
    <w:p w14:paraId="256F45A9" w14:textId="77777777" w:rsidR="00585262" w:rsidRPr="00E2310D" w:rsidRDefault="00585262" w:rsidP="00E2310D">
      <w:pPr>
        <w:pStyle w:val="Paragraphedeliste"/>
        <w:numPr>
          <w:ilvl w:val="0"/>
          <w:numId w:val="13"/>
        </w:numPr>
        <w:spacing w:after="120"/>
        <w:ind w:left="1508" w:hanging="357"/>
        <w:contextualSpacing w:val="0"/>
      </w:pPr>
      <w:r w:rsidRPr="00401907">
        <w:rPr>
          <w:rFonts w:ascii="Arial" w:hAnsi="Arial" w:cs="Arial"/>
          <w:i/>
        </w:rPr>
        <w:t>Récapitulation des résultats des composés déterminants sous la forme de</w:t>
      </w:r>
      <w:r>
        <w:rPr>
          <w:rFonts w:ascii="Arial" w:hAnsi="Arial" w:cs="Arial"/>
          <w:i/>
        </w:rPr>
        <w:t xml:space="preserve"> t</w:t>
      </w:r>
      <w:r w:rsidRPr="00401907">
        <w:rPr>
          <w:rFonts w:ascii="Arial" w:hAnsi="Arial" w:cs="Arial"/>
          <w:i/>
        </w:rPr>
        <w:t xml:space="preserve">ableaux </w:t>
      </w:r>
      <w:r w:rsidRPr="009D2A05">
        <w:rPr>
          <w:rFonts w:ascii="Arial" w:hAnsi="Arial" w:cs="Arial"/>
          <w:b/>
          <w:i/>
          <w:u w:val="single"/>
        </w:rPr>
        <w:t>de synthèse</w:t>
      </w:r>
      <w:r w:rsidRPr="00401907">
        <w:rPr>
          <w:rFonts w:ascii="Arial" w:hAnsi="Arial" w:cs="Arial"/>
          <w:i/>
        </w:rPr>
        <w:t xml:space="preserve"> des analyses.</w:t>
      </w:r>
    </w:p>
    <w:p w14:paraId="3409EACF" w14:textId="38FF4BF7" w:rsidR="00151812" w:rsidRDefault="001518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B81DF63" w14:textId="77777777" w:rsidR="00DE3F91" w:rsidRDefault="00151812" w:rsidP="00A94DB9">
      <w:pPr>
        <w:pStyle w:val="Paragraphedeliste"/>
        <w:numPr>
          <w:ilvl w:val="0"/>
          <w:numId w:val="5"/>
        </w:numPr>
        <w:spacing w:after="120"/>
        <w:ind w:left="357" w:hanging="357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Conclusions</w:t>
      </w:r>
      <w:r w:rsidR="006F3FBF">
        <w:rPr>
          <w:rFonts w:ascii="Arial" w:hAnsi="Arial" w:cs="Arial"/>
          <w:b/>
        </w:rPr>
        <w:t xml:space="preserve"> </w:t>
      </w:r>
    </w:p>
    <w:p w14:paraId="4063D126" w14:textId="77777777" w:rsidR="00B238B0" w:rsidRPr="000971D9" w:rsidRDefault="0033562A" w:rsidP="0033562A">
      <w:pPr>
        <w:pStyle w:val="Paragraphedeliste"/>
        <w:numPr>
          <w:ilvl w:val="1"/>
          <w:numId w:val="5"/>
        </w:numPr>
        <w:spacing w:after="120"/>
        <w:ind w:left="788" w:hanging="431"/>
        <w:contextualSpacing w:val="0"/>
        <w:outlineLvl w:val="1"/>
        <w:rPr>
          <w:rFonts w:ascii="Arial" w:hAnsi="Arial" w:cs="Arial"/>
          <w:color w:val="FF0000"/>
        </w:rPr>
      </w:pPr>
      <w:r w:rsidRPr="000971D9">
        <w:rPr>
          <w:rFonts w:ascii="Arial" w:hAnsi="Arial" w:cs="Arial"/>
          <w:color w:val="FF0000"/>
        </w:rPr>
        <w:t>Conclusions de l'auteur</w:t>
      </w:r>
    </w:p>
    <w:p w14:paraId="505B8621" w14:textId="77777777" w:rsidR="0033562A" w:rsidRPr="003C0FCA" w:rsidRDefault="0033562A" w:rsidP="00763971">
      <w:pPr>
        <w:pStyle w:val="Paragraphedeliste"/>
        <w:numPr>
          <w:ilvl w:val="0"/>
          <w:numId w:val="23"/>
        </w:numPr>
        <w:spacing w:after="120"/>
        <w:ind w:left="1502"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>Prise de position claire et opérat</w:t>
      </w:r>
      <w:r w:rsidR="003010F6" w:rsidRPr="003C0FCA">
        <w:rPr>
          <w:rFonts w:ascii="Arial" w:hAnsi="Arial" w:cs="Arial"/>
          <w:i/>
          <w:color w:val="FF0000"/>
        </w:rPr>
        <w:t>ionnelle de l'auteur du rapport</w:t>
      </w:r>
    </w:p>
    <w:p w14:paraId="62358C55" w14:textId="77777777" w:rsidR="0022661F" w:rsidRDefault="00C274AD" w:rsidP="00C274AD">
      <w:pPr>
        <w:pStyle w:val="Paragraphedeliste"/>
        <w:numPr>
          <w:ilvl w:val="0"/>
          <w:numId w:val="5"/>
        </w:numPr>
        <w:spacing w:after="120"/>
        <w:ind w:left="357" w:hanging="357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Annexes</w:t>
      </w:r>
      <w:r w:rsidR="008B3A19">
        <w:rPr>
          <w:rFonts w:ascii="Arial" w:hAnsi="Arial" w:cs="Arial"/>
          <w:b/>
        </w:rPr>
        <w:t xml:space="preserve"> à fournir</w:t>
      </w:r>
    </w:p>
    <w:p w14:paraId="3B558BBF" w14:textId="77777777" w:rsidR="00C274AD" w:rsidRPr="00C274AD" w:rsidRDefault="00C274AD" w:rsidP="00C274AD">
      <w:pPr>
        <w:pStyle w:val="Paragraphedeliste"/>
        <w:numPr>
          <w:ilvl w:val="1"/>
          <w:numId w:val="5"/>
        </w:numPr>
        <w:spacing w:after="120"/>
        <w:contextualSpacing w:val="0"/>
        <w:outlineLvl w:val="1"/>
        <w:rPr>
          <w:rFonts w:ascii="Arial" w:hAnsi="Arial" w:cs="Arial"/>
        </w:rPr>
      </w:pPr>
      <w:r w:rsidRPr="00C274AD">
        <w:rPr>
          <w:rFonts w:ascii="Arial" w:hAnsi="Arial" w:cs="Arial"/>
        </w:rPr>
        <w:t>Annexes de base</w:t>
      </w:r>
    </w:p>
    <w:p w14:paraId="5BDEE352" w14:textId="77777777" w:rsidR="00A9403E" w:rsidRPr="00D574C1" w:rsidRDefault="00A9403E" w:rsidP="00A9403E">
      <w:pPr>
        <w:pStyle w:val="Paragraphedeliste"/>
        <w:numPr>
          <w:ilvl w:val="0"/>
          <w:numId w:val="6"/>
        </w:numPr>
        <w:spacing w:after="120"/>
        <w:ind w:left="1508" w:hanging="357"/>
        <w:rPr>
          <w:rFonts w:ascii="Arial" w:hAnsi="Arial" w:cs="Arial"/>
          <w:i/>
          <w:color w:val="FF0000"/>
        </w:rPr>
      </w:pPr>
      <w:r w:rsidRPr="00D574C1">
        <w:rPr>
          <w:rFonts w:ascii="Arial" w:hAnsi="Arial" w:cs="Arial"/>
          <w:i/>
          <w:color w:val="FF0000"/>
        </w:rPr>
        <w:t>Annexe 1</w:t>
      </w:r>
      <w:r w:rsidRPr="00D574C1">
        <w:rPr>
          <w:rFonts w:ascii="Arial" w:hAnsi="Arial" w:cs="Arial"/>
          <w:i/>
          <w:color w:val="FF0000"/>
        </w:rPr>
        <w:tab/>
      </w:r>
      <w:r w:rsidR="00151812" w:rsidRPr="00D574C1">
        <w:rPr>
          <w:rFonts w:ascii="Arial" w:hAnsi="Arial" w:cs="Arial"/>
          <w:i/>
          <w:color w:val="FF0000"/>
        </w:rPr>
        <w:t>Plan cadastral</w:t>
      </w:r>
    </w:p>
    <w:p w14:paraId="10C39ED4" w14:textId="77777777" w:rsidR="00A9403E" w:rsidRPr="003C0FCA" w:rsidRDefault="00A9403E" w:rsidP="00A9403E">
      <w:pPr>
        <w:pStyle w:val="Paragraphedeliste"/>
        <w:numPr>
          <w:ilvl w:val="0"/>
          <w:numId w:val="6"/>
        </w:numPr>
        <w:spacing w:after="120"/>
        <w:ind w:left="1508" w:hanging="357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>Annexe 2</w:t>
      </w:r>
      <w:r w:rsidRPr="003C0FCA">
        <w:rPr>
          <w:rFonts w:ascii="Arial" w:hAnsi="Arial" w:cs="Arial"/>
          <w:i/>
          <w:color w:val="FF0000"/>
        </w:rPr>
        <w:tab/>
        <w:t xml:space="preserve">Plan de situation des </w:t>
      </w:r>
      <w:r w:rsidR="00D574C1">
        <w:rPr>
          <w:rFonts w:ascii="Arial" w:hAnsi="Arial" w:cs="Arial"/>
          <w:i/>
          <w:color w:val="FF0000"/>
        </w:rPr>
        <w:t>résultats synthétiques (diag.OLED)</w:t>
      </w:r>
    </w:p>
    <w:p w14:paraId="3BB0DCEB" w14:textId="77777777" w:rsidR="00553639" w:rsidRPr="00583B2B" w:rsidRDefault="0054012A" w:rsidP="00043FE7">
      <w:pPr>
        <w:pStyle w:val="Paragraphedeliste"/>
        <w:numPr>
          <w:ilvl w:val="0"/>
          <w:numId w:val="6"/>
        </w:numPr>
        <w:spacing w:after="120"/>
        <w:ind w:left="1508" w:hanging="357"/>
        <w:rPr>
          <w:rFonts w:ascii="Arial" w:hAnsi="Arial" w:cs="Arial"/>
          <w:i/>
        </w:rPr>
      </w:pPr>
      <w:r w:rsidRPr="00583B2B">
        <w:rPr>
          <w:rFonts w:ascii="Arial" w:hAnsi="Arial" w:cs="Arial"/>
          <w:i/>
        </w:rPr>
        <w:t>Annexe 3</w:t>
      </w:r>
      <w:r w:rsidRPr="003C0FCA">
        <w:rPr>
          <w:rFonts w:ascii="Arial" w:hAnsi="Arial" w:cs="Arial"/>
          <w:i/>
          <w:color w:val="FF0000"/>
        </w:rPr>
        <w:tab/>
      </w:r>
      <w:r w:rsidR="00D574C1" w:rsidRPr="00583B2B">
        <w:rPr>
          <w:rFonts w:ascii="Arial" w:hAnsi="Arial" w:cs="Arial"/>
          <w:i/>
        </w:rPr>
        <w:t>C</w:t>
      </w:r>
      <w:r w:rsidRPr="00583B2B">
        <w:rPr>
          <w:rFonts w:ascii="Arial" w:hAnsi="Arial" w:cs="Arial"/>
          <w:i/>
        </w:rPr>
        <w:t xml:space="preserve">artes et coupes </w:t>
      </w:r>
      <w:r w:rsidR="001B24A2" w:rsidRPr="00583B2B">
        <w:rPr>
          <w:rFonts w:ascii="Arial" w:hAnsi="Arial" w:cs="Arial"/>
          <w:i/>
        </w:rPr>
        <w:t>géologiques</w:t>
      </w:r>
      <w:r w:rsidR="00583B2B" w:rsidRPr="00583B2B">
        <w:rPr>
          <w:rFonts w:ascii="Arial" w:hAnsi="Arial" w:cs="Arial"/>
          <w:i/>
        </w:rPr>
        <w:t>, si pertinent</w:t>
      </w:r>
    </w:p>
    <w:p w14:paraId="0B17FC2A" w14:textId="77777777" w:rsidR="00201958" w:rsidRPr="003C0FCA" w:rsidRDefault="00201958" w:rsidP="00043FE7">
      <w:pPr>
        <w:pStyle w:val="Paragraphedeliste"/>
        <w:numPr>
          <w:ilvl w:val="0"/>
          <w:numId w:val="6"/>
        </w:numPr>
        <w:spacing w:after="120"/>
        <w:ind w:left="1508" w:hanging="357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 xml:space="preserve">Annexe </w:t>
      </w:r>
      <w:r w:rsidR="00D574C1">
        <w:rPr>
          <w:rFonts w:ascii="Arial" w:hAnsi="Arial" w:cs="Arial"/>
          <w:i/>
          <w:color w:val="FF0000"/>
        </w:rPr>
        <w:t>4</w:t>
      </w:r>
      <w:r w:rsidRPr="003C0FCA">
        <w:rPr>
          <w:rFonts w:ascii="Arial" w:hAnsi="Arial" w:cs="Arial"/>
          <w:i/>
          <w:color w:val="FF0000"/>
        </w:rPr>
        <w:t xml:space="preserve"> </w:t>
      </w:r>
      <w:r w:rsidRPr="003C0FCA">
        <w:rPr>
          <w:rFonts w:ascii="Arial" w:hAnsi="Arial" w:cs="Arial"/>
          <w:i/>
          <w:color w:val="FF0000"/>
        </w:rPr>
        <w:tab/>
        <w:t xml:space="preserve">Plan </w:t>
      </w:r>
      <w:r w:rsidR="00D574C1">
        <w:rPr>
          <w:rFonts w:ascii="Arial" w:hAnsi="Arial" w:cs="Arial"/>
          <w:i/>
          <w:color w:val="FF0000"/>
        </w:rPr>
        <w:t>de</w:t>
      </w:r>
      <w:r w:rsidRPr="003C0FCA">
        <w:rPr>
          <w:rFonts w:ascii="Arial" w:hAnsi="Arial" w:cs="Arial"/>
          <w:i/>
          <w:color w:val="FF0000"/>
        </w:rPr>
        <w:t xml:space="preserve"> des résultats déterminants</w:t>
      </w:r>
      <w:r w:rsidR="00E677AD">
        <w:rPr>
          <w:rFonts w:ascii="Arial" w:hAnsi="Arial" w:cs="Arial"/>
          <w:i/>
          <w:color w:val="FF0000"/>
        </w:rPr>
        <w:t xml:space="preserve"> (</w:t>
      </w:r>
      <w:r w:rsidR="00D574C1">
        <w:rPr>
          <w:rFonts w:ascii="Arial" w:hAnsi="Arial" w:cs="Arial"/>
          <w:i/>
          <w:color w:val="FF0000"/>
        </w:rPr>
        <w:t>Fond de fouille et matériaux en place</w:t>
      </w:r>
      <w:r w:rsidR="00E677AD">
        <w:rPr>
          <w:rFonts w:ascii="Arial" w:hAnsi="Arial" w:cs="Arial"/>
          <w:i/>
          <w:color w:val="FF0000"/>
        </w:rPr>
        <w:t>)</w:t>
      </w:r>
      <w:r w:rsidR="00D574C1">
        <w:rPr>
          <w:rFonts w:ascii="Arial" w:hAnsi="Arial" w:cs="Arial"/>
          <w:i/>
          <w:color w:val="FF0000"/>
        </w:rPr>
        <w:t>, si possible sur annexe 2</w:t>
      </w:r>
    </w:p>
    <w:p w14:paraId="3231941A" w14:textId="77777777" w:rsidR="00201958" w:rsidRPr="003C0FCA" w:rsidRDefault="00794B55" w:rsidP="00AD2EB2">
      <w:pPr>
        <w:pStyle w:val="Paragraphedeliste"/>
        <w:numPr>
          <w:ilvl w:val="0"/>
          <w:numId w:val="6"/>
        </w:numPr>
        <w:spacing w:after="120"/>
        <w:ind w:left="1508" w:hanging="357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 xml:space="preserve">Annexe </w:t>
      </w:r>
      <w:r w:rsidR="00732BC3">
        <w:rPr>
          <w:rFonts w:ascii="Arial" w:hAnsi="Arial" w:cs="Arial"/>
          <w:i/>
          <w:color w:val="FF0000"/>
        </w:rPr>
        <w:t>5</w:t>
      </w:r>
      <w:r w:rsidRPr="003C0FCA">
        <w:rPr>
          <w:rFonts w:ascii="Arial" w:hAnsi="Arial" w:cs="Arial"/>
          <w:i/>
          <w:color w:val="FF0000"/>
        </w:rPr>
        <w:tab/>
      </w:r>
      <w:r w:rsidR="00201958" w:rsidRPr="003C0FCA">
        <w:rPr>
          <w:rFonts w:ascii="Arial" w:hAnsi="Arial" w:cs="Arial"/>
          <w:i/>
          <w:color w:val="FF0000"/>
        </w:rPr>
        <w:t xml:space="preserve">Tableaux de synthèse des </w:t>
      </w:r>
      <w:r w:rsidR="00D574C1">
        <w:rPr>
          <w:rFonts w:ascii="Arial" w:hAnsi="Arial" w:cs="Arial"/>
          <w:i/>
          <w:color w:val="FF0000"/>
        </w:rPr>
        <w:t>résultats d'analyses</w:t>
      </w:r>
      <w:r w:rsidR="00201958" w:rsidRPr="003C0FCA">
        <w:rPr>
          <w:rFonts w:ascii="Arial" w:hAnsi="Arial" w:cs="Arial"/>
          <w:i/>
          <w:color w:val="FF0000"/>
        </w:rPr>
        <w:t xml:space="preserve"> des composés déterminants</w:t>
      </w:r>
    </w:p>
    <w:p w14:paraId="330B6FCE" w14:textId="77777777" w:rsidR="00201958" w:rsidRPr="003C0FCA" w:rsidRDefault="00201958" w:rsidP="00201958">
      <w:pPr>
        <w:pStyle w:val="Paragraphedeliste"/>
        <w:numPr>
          <w:ilvl w:val="0"/>
          <w:numId w:val="6"/>
        </w:numPr>
        <w:spacing w:after="120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 xml:space="preserve">Annexe </w:t>
      </w:r>
      <w:r w:rsidR="00732BC3">
        <w:rPr>
          <w:rFonts w:ascii="Arial" w:hAnsi="Arial" w:cs="Arial"/>
          <w:i/>
          <w:color w:val="FF0000"/>
        </w:rPr>
        <w:t>6</w:t>
      </w:r>
      <w:r w:rsidRPr="003C0FCA">
        <w:rPr>
          <w:rFonts w:ascii="Arial" w:hAnsi="Arial" w:cs="Arial"/>
          <w:i/>
          <w:color w:val="FF0000"/>
        </w:rPr>
        <w:tab/>
        <w:t xml:space="preserve">Protocoles des prélèvements et de conditionnement des échantillons, </w:t>
      </w:r>
      <w:r w:rsidR="00CB54A6" w:rsidRPr="003C0FCA">
        <w:rPr>
          <w:rFonts w:ascii="Arial" w:hAnsi="Arial" w:cs="Arial"/>
          <w:i/>
          <w:color w:val="FF0000"/>
        </w:rPr>
        <w:tab/>
      </w:r>
      <w:r w:rsidR="00CB54A6" w:rsidRPr="003C0FCA">
        <w:rPr>
          <w:rFonts w:ascii="Arial" w:hAnsi="Arial" w:cs="Arial"/>
          <w:i/>
          <w:color w:val="FF0000"/>
        </w:rPr>
        <w:tab/>
      </w:r>
      <w:r w:rsidRPr="003C0FCA">
        <w:rPr>
          <w:rFonts w:ascii="Arial" w:hAnsi="Arial" w:cs="Arial"/>
          <w:i/>
          <w:color w:val="FF0000"/>
        </w:rPr>
        <w:t xml:space="preserve">de décontamination du matériel, bordereau de calibration des </w:t>
      </w:r>
      <w:r w:rsidR="00CB54A6" w:rsidRPr="003C0FCA">
        <w:rPr>
          <w:rFonts w:ascii="Arial" w:hAnsi="Arial" w:cs="Arial"/>
          <w:i/>
          <w:color w:val="FF0000"/>
        </w:rPr>
        <w:tab/>
      </w:r>
      <w:r w:rsidR="00CB54A6" w:rsidRPr="003C0FCA">
        <w:rPr>
          <w:rFonts w:ascii="Arial" w:hAnsi="Arial" w:cs="Arial"/>
          <w:i/>
          <w:color w:val="FF0000"/>
        </w:rPr>
        <w:tab/>
      </w:r>
      <w:r w:rsidR="00CB54A6" w:rsidRPr="003C0FCA">
        <w:rPr>
          <w:rFonts w:ascii="Arial" w:hAnsi="Arial" w:cs="Arial"/>
          <w:i/>
          <w:color w:val="FF0000"/>
        </w:rPr>
        <w:tab/>
      </w:r>
      <w:r w:rsidRPr="003C0FCA">
        <w:rPr>
          <w:rFonts w:ascii="Arial" w:hAnsi="Arial" w:cs="Arial"/>
          <w:i/>
          <w:color w:val="FF0000"/>
        </w:rPr>
        <w:t>appareils de terrain</w:t>
      </w:r>
      <w:r w:rsidR="00D574C1">
        <w:rPr>
          <w:rFonts w:ascii="Arial" w:hAnsi="Arial" w:cs="Arial"/>
          <w:i/>
          <w:color w:val="FF0000"/>
        </w:rPr>
        <w:t xml:space="preserve"> (PID)</w:t>
      </w:r>
    </w:p>
    <w:p w14:paraId="58CCFAD1" w14:textId="77777777" w:rsidR="00201958" w:rsidRPr="003C0FCA" w:rsidRDefault="00201958" w:rsidP="00201958">
      <w:pPr>
        <w:pStyle w:val="Paragraphedeliste"/>
        <w:numPr>
          <w:ilvl w:val="0"/>
          <w:numId w:val="6"/>
        </w:numPr>
        <w:spacing w:after="120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 xml:space="preserve">Annexe </w:t>
      </w:r>
      <w:r w:rsidR="00732BC3">
        <w:rPr>
          <w:rFonts w:ascii="Arial" w:hAnsi="Arial" w:cs="Arial"/>
          <w:i/>
          <w:color w:val="FF0000"/>
        </w:rPr>
        <w:t>7</w:t>
      </w:r>
      <w:r w:rsidRPr="003C0FCA">
        <w:rPr>
          <w:rFonts w:ascii="Arial" w:hAnsi="Arial" w:cs="Arial"/>
          <w:i/>
          <w:color w:val="FF0000"/>
        </w:rPr>
        <w:tab/>
        <w:t>Bordereaux d'échantillonnage (y c. format électronique</w:t>
      </w:r>
      <w:r w:rsidR="003C0FCA">
        <w:rPr>
          <w:rFonts w:ascii="Arial" w:hAnsi="Arial" w:cs="Arial"/>
          <w:i/>
          <w:color w:val="FF0000"/>
        </w:rPr>
        <w:t xml:space="preserve"> EDD</w:t>
      </w:r>
      <w:r w:rsidRPr="003C0FCA">
        <w:rPr>
          <w:rFonts w:ascii="Arial" w:hAnsi="Arial" w:cs="Arial"/>
          <w:i/>
          <w:color w:val="FF0000"/>
        </w:rPr>
        <w:t>)</w:t>
      </w:r>
    </w:p>
    <w:p w14:paraId="4ABEFA9E" w14:textId="77777777" w:rsidR="00794B55" w:rsidRDefault="00201958" w:rsidP="007B797F">
      <w:pPr>
        <w:pStyle w:val="Paragraphedeliste"/>
        <w:numPr>
          <w:ilvl w:val="0"/>
          <w:numId w:val="6"/>
        </w:numPr>
        <w:spacing w:after="120"/>
        <w:ind w:left="1508" w:hanging="357"/>
        <w:contextualSpacing w:val="0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 xml:space="preserve">Annexe </w:t>
      </w:r>
      <w:r w:rsidR="00732BC3">
        <w:rPr>
          <w:rFonts w:ascii="Arial" w:hAnsi="Arial" w:cs="Arial"/>
          <w:i/>
          <w:color w:val="FF0000"/>
        </w:rPr>
        <w:t>8</w:t>
      </w:r>
      <w:r w:rsidRPr="003C0FCA">
        <w:rPr>
          <w:rFonts w:ascii="Arial" w:hAnsi="Arial" w:cs="Arial"/>
          <w:i/>
          <w:color w:val="FF0000"/>
        </w:rPr>
        <w:tab/>
        <w:t>Rapports d'analyses laboratoire</w:t>
      </w:r>
      <w:r w:rsidR="00553639">
        <w:rPr>
          <w:rFonts w:ascii="Arial" w:hAnsi="Arial" w:cs="Arial"/>
          <w:i/>
          <w:color w:val="FF0000"/>
        </w:rPr>
        <w:t>, incluant les incertitudes et LQ</w:t>
      </w:r>
      <w:r w:rsidR="00553639">
        <w:rPr>
          <w:rFonts w:ascii="Arial" w:hAnsi="Arial" w:cs="Arial"/>
          <w:i/>
          <w:color w:val="FF0000"/>
        </w:rPr>
        <w:br/>
        <w:t xml:space="preserve">                    </w:t>
      </w:r>
      <w:r w:rsidRPr="003C0FCA">
        <w:rPr>
          <w:rFonts w:ascii="Arial" w:hAnsi="Arial" w:cs="Arial"/>
          <w:i/>
          <w:color w:val="FF0000"/>
        </w:rPr>
        <w:t xml:space="preserve"> (y c. format électronique</w:t>
      </w:r>
      <w:r w:rsidR="003C0FCA">
        <w:rPr>
          <w:rFonts w:ascii="Arial" w:hAnsi="Arial" w:cs="Arial"/>
          <w:i/>
          <w:color w:val="FF0000"/>
        </w:rPr>
        <w:t xml:space="preserve"> EDD</w:t>
      </w:r>
      <w:r w:rsidRPr="003C0FCA">
        <w:rPr>
          <w:rFonts w:ascii="Arial" w:hAnsi="Arial" w:cs="Arial"/>
          <w:i/>
          <w:color w:val="FF0000"/>
        </w:rPr>
        <w:t>)</w:t>
      </w:r>
    </w:p>
    <w:p w14:paraId="1BA15F4F" w14:textId="77777777" w:rsidR="00E677AD" w:rsidRDefault="00E677AD" w:rsidP="00E677AD">
      <w:pPr>
        <w:pStyle w:val="Paragraphedeliste"/>
        <w:numPr>
          <w:ilvl w:val="0"/>
          <w:numId w:val="6"/>
        </w:numPr>
        <w:spacing w:after="120"/>
        <w:ind w:left="1508" w:hanging="357"/>
        <w:rPr>
          <w:rFonts w:ascii="Arial" w:hAnsi="Arial" w:cs="Arial"/>
          <w:i/>
          <w:color w:val="FF0000"/>
        </w:rPr>
      </w:pPr>
      <w:r w:rsidRPr="00D574C1">
        <w:rPr>
          <w:rFonts w:ascii="Arial" w:hAnsi="Arial" w:cs="Arial"/>
          <w:i/>
          <w:color w:val="FF0000"/>
        </w:rPr>
        <w:t xml:space="preserve">Annexe </w:t>
      </w:r>
      <w:r w:rsidR="00732BC3">
        <w:rPr>
          <w:rFonts w:ascii="Arial" w:hAnsi="Arial" w:cs="Arial"/>
          <w:i/>
          <w:color w:val="FF0000"/>
        </w:rPr>
        <w:t>9</w:t>
      </w:r>
      <w:r w:rsidRPr="00D574C1">
        <w:rPr>
          <w:rFonts w:ascii="Arial" w:hAnsi="Arial" w:cs="Arial"/>
          <w:i/>
          <w:color w:val="FF0000"/>
        </w:rPr>
        <w:tab/>
        <w:t>Proposition de modification de l’extension du site pollué</w:t>
      </w:r>
      <w:r w:rsidR="00732BC3">
        <w:rPr>
          <w:rFonts w:ascii="Arial" w:hAnsi="Arial" w:cs="Arial"/>
          <w:i/>
          <w:color w:val="FF0000"/>
        </w:rPr>
        <w:t>, sur plan cadastral. Indiquant précisément la zone excavée, la modification de l'extension du SP demandée, le cas échéant les secteurs avec une pollution résiduelle</w:t>
      </w:r>
    </w:p>
    <w:p w14:paraId="18D2205C" w14:textId="77777777" w:rsidR="00732BC3" w:rsidRPr="00732BC3" w:rsidRDefault="00732BC3" w:rsidP="00732BC3">
      <w:pPr>
        <w:pStyle w:val="Paragraphedeliste"/>
        <w:numPr>
          <w:ilvl w:val="0"/>
          <w:numId w:val="6"/>
        </w:numPr>
        <w:spacing w:after="120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 xml:space="preserve">Annexe </w:t>
      </w:r>
      <w:r>
        <w:rPr>
          <w:rFonts w:ascii="Arial" w:hAnsi="Arial" w:cs="Arial"/>
          <w:i/>
          <w:color w:val="FF0000"/>
        </w:rPr>
        <w:t>10</w:t>
      </w:r>
      <w:r w:rsidRPr="003C0FCA">
        <w:rPr>
          <w:rFonts w:ascii="Arial" w:hAnsi="Arial" w:cs="Arial"/>
          <w:i/>
          <w:color w:val="FF0000"/>
        </w:rPr>
        <w:tab/>
      </w:r>
      <w:r>
        <w:rPr>
          <w:rFonts w:ascii="Arial" w:hAnsi="Arial" w:cs="Arial"/>
          <w:i/>
          <w:color w:val="FF0000"/>
        </w:rPr>
        <w:t>Courrier/courriel de validation du GESDEC/SSP du CdC</w:t>
      </w:r>
    </w:p>
    <w:p w14:paraId="503027E9" w14:textId="77777777" w:rsidR="00E677AD" w:rsidRPr="00E677AD" w:rsidRDefault="00E677AD" w:rsidP="00E677AD">
      <w:pPr>
        <w:pStyle w:val="Paragraphedeliste"/>
        <w:spacing w:after="120"/>
        <w:ind w:left="1508"/>
        <w:rPr>
          <w:rFonts w:ascii="Arial" w:hAnsi="Arial" w:cs="Arial"/>
          <w:i/>
          <w:color w:val="FF0000"/>
        </w:rPr>
      </w:pPr>
    </w:p>
    <w:p w14:paraId="62780237" w14:textId="77777777" w:rsidR="00C274AD" w:rsidRDefault="008B3A19" w:rsidP="00C274AD">
      <w:pPr>
        <w:pStyle w:val="Paragraphedeliste"/>
        <w:numPr>
          <w:ilvl w:val="1"/>
          <w:numId w:val="5"/>
        </w:numPr>
        <w:spacing w:after="120"/>
        <w:contextualSpacing w:val="0"/>
        <w:outlineLvl w:val="1"/>
        <w:rPr>
          <w:rFonts w:ascii="Arial" w:hAnsi="Arial" w:cs="Arial"/>
        </w:rPr>
      </w:pPr>
      <w:r w:rsidRPr="008B3A19">
        <w:rPr>
          <w:rFonts w:ascii="Arial" w:hAnsi="Arial" w:cs="Arial"/>
        </w:rPr>
        <w:t xml:space="preserve">Autres annexes </w:t>
      </w:r>
      <w:r>
        <w:rPr>
          <w:rFonts w:ascii="Arial" w:hAnsi="Arial" w:cs="Arial"/>
        </w:rPr>
        <w:t>(</w:t>
      </w:r>
      <w:r w:rsidR="00FA38FA">
        <w:rPr>
          <w:rFonts w:ascii="Arial" w:hAnsi="Arial" w:cs="Arial"/>
        </w:rPr>
        <w:t>non exhaustif)</w:t>
      </w:r>
    </w:p>
    <w:p w14:paraId="30F9D963" w14:textId="77777777" w:rsidR="00A9403E" w:rsidRPr="00AD2EB2" w:rsidRDefault="00794B55" w:rsidP="00E2310D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="Arial" w:hAnsi="Arial" w:cs="Arial"/>
          <w:i/>
        </w:rPr>
      </w:pPr>
      <w:r w:rsidRPr="00FA38FA">
        <w:rPr>
          <w:rFonts w:ascii="Arial" w:hAnsi="Arial" w:cs="Arial"/>
          <w:i/>
        </w:rPr>
        <w:t xml:space="preserve">Annexe </w:t>
      </w:r>
      <w:r w:rsidR="00732BC3">
        <w:rPr>
          <w:rFonts w:ascii="Arial" w:hAnsi="Arial" w:cs="Arial"/>
          <w:i/>
        </w:rPr>
        <w:t>11</w:t>
      </w:r>
      <w:r w:rsidRPr="00FA38FA">
        <w:rPr>
          <w:rFonts w:ascii="Arial" w:hAnsi="Arial" w:cs="Arial"/>
          <w:i/>
        </w:rPr>
        <w:tab/>
        <w:t>Documentation photographique</w:t>
      </w:r>
    </w:p>
    <w:p w14:paraId="7C1589E5" w14:textId="77777777" w:rsidR="003C0FCA" w:rsidRDefault="003C0F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1581BB6" w14:textId="77777777" w:rsidR="00043FE7" w:rsidRDefault="00043FE7" w:rsidP="0083448C">
      <w:pPr>
        <w:pStyle w:val="Paragraphedeliste"/>
        <w:numPr>
          <w:ilvl w:val="0"/>
          <w:numId w:val="14"/>
        </w:numPr>
        <w:spacing w:after="120"/>
        <w:contextualSpacing w:val="0"/>
        <w:outlineLvl w:val="0"/>
        <w:rPr>
          <w:rFonts w:ascii="Arial" w:hAnsi="Arial" w:cs="Arial"/>
          <w:b/>
        </w:rPr>
      </w:pPr>
      <w:r w:rsidRPr="00043FE7">
        <w:rPr>
          <w:rFonts w:ascii="Arial" w:hAnsi="Arial" w:cs="Arial"/>
          <w:b/>
        </w:rPr>
        <w:lastRenderedPageBreak/>
        <w:t xml:space="preserve">Remarque sur les annexes, </w:t>
      </w:r>
      <w:r w:rsidR="004621AE" w:rsidRPr="00FA26FB">
        <w:rPr>
          <w:rFonts w:ascii="Arial" w:hAnsi="Arial" w:cs="Arial"/>
          <w:b/>
        </w:rPr>
        <w:t>logs</w:t>
      </w:r>
      <w:r w:rsidR="004621AE">
        <w:rPr>
          <w:rFonts w:ascii="Arial" w:hAnsi="Arial" w:cs="Arial"/>
          <w:b/>
        </w:rPr>
        <w:t xml:space="preserve">, </w:t>
      </w:r>
      <w:r w:rsidRPr="00043FE7">
        <w:rPr>
          <w:rFonts w:ascii="Arial" w:hAnsi="Arial" w:cs="Arial"/>
          <w:b/>
        </w:rPr>
        <w:t>plans, tableaux et légendes</w:t>
      </w:r>
    </w:p>
    <w:p w14:paraId="0C2C0956" w14:textId="77777777" w:rsidR="00F0178D" w:rsidRDefault="00F0178D" w:rsidP="00F0178D">
      <w:pPr>
        <w:pStyle w:val="Paragraphedeliste"/>
        <w:numPr>
          <w:ilvl w:val="1"/>
          <w:numId w:val="14"/>
        </w:numPr>
        <w:spacing w:after="120"/>
        <w:ind w:left="788" w:hanging="431"/>
        <w:contextualSpacing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Les informations suivantes doivent figurer sur les relevés de forage (logs):</w:t>
      </w:r>
    </w:p>
    <w:p w14:paraId="106ED128" w14:textId="77777777" w:rsidR="00F0178D" w:rsidRDefault="00F0178D" w:rsidP="00F0178D">
      <w:pPr>
        <w:pStyle w:val="Paragraphedeliste"/>
        <w:numPr>
          <w:ilvl w:val="0"/>
          <w:numId w:val="26"/>
        </w:numPr>
        <w:spacing w:after="120"/>
        <w:ind w:left="150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Altitude en mètres/mer, coordonnées </w:t>
      </w:r>
      <w:r w:rsidR="001B24A2">
        <w:rPr>
          <w:rFonts w:ascii="Arial" w:hAnsi="Arial" w:cs="Arial"/>
        </w:rPr>
        <w:t>CH</w:t>
      </w:r>
    </w:p>
    <w:p w14:paraId="065AA5C1" w14:textId="77777777" w:rsidR="00F0178D" w:rsidRDefault="00F0178D" w:rsidP="00F0178D">
      <w:pPr>
        <w:pStyle w:val="Paragraphedeliste"/>
        <w:numPr>
          <w:ilvl w:val="0"/>
          <w:numId w:val="26"/>
        </w:numPr>
        <w:spacing w:after="120"/>
        <w:ind w:left="150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Techniques et diamètre de forage</w:t>
      </w:r>
    </w:p>
    <w:p w14:paraId="5E9595C2" w14:textId="77777777" w:rsidR="00F0178D" w:rsidRDefault="00F0178D" w:rsidP="00F0178D">
      <w:pPr>
        <w:pStyle w:val="Paragraphedeliste"/>
        <w:numPr>
          <w:ilvl w:val="0"/>
          <w:numId w:val="26"/>
        </w:numPr>
        <w:spacing w:after="120"/>
        <w:ind w:left="150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Indications sur l'équipement: diamètre du piézo, hauteur crépinée, tube plein, niveau avec bouchon d'argile, caractéristiques du massif filtrant, niveau d'eau statique avec date</w:t>
      </w:r>
    </w:p>
    <w:p w14:paraId="2B9F199B" w14:textId="77777777" w:rsidR="00F0178D" w:rsidRDefault="00F0178D" w:rsidP="00F0178D">
      <w:pPr>
        <w:pStyle w:val="Paragraphedeliste"/>
        <w:numPr>
          <w:ilvl w:val="0"/>
          <w:numId w:val="26"/>
        </w:numPr>
        <w:spacing w:after="120"/>
        <w:ind w:left="150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Profondeur des échantillons prélevés avec dénomination de l'échantillon</w:t>
      </w:r>
    </w:p>
    <w:p w14:paraId="11A618E4" w14:textId="77777777" w:rsidR="00F0178D" w:rsidRDefault="00F0178D" w:rsidP="00F0178D">
      <w:pPr>
        <w:pStyle w:val="Paragraphedeliste"/>
        <w:numPr>
          <w:ilvl w:val="0"/>
          <w:numId w:val="26"/>
        </w:numPr>
        <w:spacing w:after="120"/>
        <w:ind w:left="150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Mesures PID</w:t>
      </w:r>
    </w:p>
    <w:p w14:paraId="2C15A48B" w14:textId="77777777" w:rsidR="00F0178D" w:rsidRDefault="00F0178D" w:rsidP="00F0178D">
      <w:pPr>
        <w:pStyle w:val="Paragraphedeliste"/>
        <w:numPr>
          <w:ilvl w:val="0"/>
          <w:numId w:val="26"/>
        </w:numPr>
        <w:spacing w:after="120"/>
        <w:ind w:left="1502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Description précise des lithologies rencontrées (type de roche, type de terrain, compacité, humidité, odeur, couleur, év. présence de déchets, év. venues d'eau et ceci systématiquement pour tous les niveaux décrits)</w:t>
      </w:r>
    </w:p>
    <w:p w14:paraId="5556276F" w14:textId="77777777" w:rsidR="00043FE7" w:rsidRDefault="00727B7F" w:rsidP="00C40AE7">
      <w:pPr>
        <w:pStyle w:val="Paragraphedeliste"/>
        <w:numPr>
          <w:ilvl w:val="1"/>
          <w:numId w:val="14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Les plans doivent être à l'échelle. </w:t>
      </w:r>
      <w:r w:rsidR="00043FE7" w:rsidRPr="00043FE7">
        <w:rPr>
          <w:rFonts w:ascii="Arial" w:hAnsi="Arial" w:cs="Arial"/>
        </w:rPr>
        <w:t xml:space="preserve">Sur chaque plan doit figurer </w:t>
      </w:r>
      <w:r>
        <w:rPr>
          <w:rFonts w:ascii="Arial" w:hAnsi="Arial" w:cs="Arial"/>
        </w:rPr>
        <w:t>son échelle</w:t>
      </w:r>
      <w:r w:rsidR="00D320EB">
        <w:rPr>
          <w:rFonts w:ascii="Arial" w:hAnsi="Arial" w:cs="Arial"/>
        </w:rPr>
        <w:t xml:space="preserve">, </w:t>
      </w:r>
      <w:r w:rsidR="00043FE7" w:rsidRPr="00043FE7">
        <w:rPr>
          <w:rFonts w:ascii="Arial" w:hAnsi="Arial" w:cs="Arial"/>
        </w:rPr>
        <w:t>une flèche indiquant le nord</w:t>
      </w:r>
      <w:r w:rsidR="00D320EB">
        <w:rPr>
          <w:rFonts w:ascii="Arial" w:hAnsi="Arial" w:cs="Arial"/>
        </w:rPr>
        <w:t xml:space="preserve"> et une légende des symboles utilisés</w:t>
      </w:r>
    </w:p>
    <w:p w14:paraId="6533BD57" w14:textId="77777777" w:rsidR="00D4477B" w:rsidRDefault="00CE4728" w:rsidP="00C40AE7">
      <w:pPr>
        <w:pStyle w:val="Paragraphedeliste"/>
        <w:numPr>
          <w:ilvl w:val="1"/>
          <w:numId w:val="14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Sur chaque plan indiquant les travaux de sondage et les données d'analyses doit figurer le sens d'écoulement des eaux souterraines, symbolisé par des flèches bleues</w:t>
      </w:r>
      <w:r w:rsidR="003010F6">
        <w:rPr>
          <w:rFonts w:ascii="Arial" w:hAnsi="Arial" w:cs="Arial"/>
        </w:rPr>
        <w:t xml:space="preserve"> commentées (pour indiquer les incertitudes restantes sur les directions d'écoulement)</w:t>
      </w:r>
      <w:r w:rsidR="00BC0FB6">
        <w:rPr>
          <w:rFonts w:ascii="Arial" w:hAnsi="Arial" w:cs="Arial"/>
        </w:rPr>
        <w:t xml:space="preserve"> ou des isopièzes, en précisant la date correspondant au sens précité.</w:t>
      </w:r>
    </w:p>
    <w:p w14:paraId="0CF3A1A7" w14:textId="77777777" w:rsidR="00464232" w:rsidRDefault="00CE4728" w:rsidP="00364BA0">
      <w:pPr>
        <w:pStyle w:val="Paragraphedeliste"/>
        <w:numPr>
          <w:ilvl w:val="1"/>
          <w:numId w:val="14"/>
        </w:numPr>
        <w:spacing w:after="60"/>
        <w:ind w:left="788" w:hanging="431"/>
        <w:contextualSpacing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Les tableaux et les plans de degré de pollution du terrain doivent adopter le code de couleurs suivant</w:t>
      </w:r>
      <w:r w:rsidR="002339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14:paraId="798D3E7C" w14:textId="77777777" w:rsidR="00BD5D60" w:rsidRPr="00364BA0" w:rsidRDefault="00BD5D60" w:rsidP="00BD5D60">
      <w:pPr>
        <w:pStyle w:val="Paragraphedeliste"/>
        <w:spacing w:after="60"/>
        <w:ind w:left="788"/>
        <w:contextualSpacing w:val="0"/>
        <w:jc w:val="both"/>
        <w:outlineLvl w:val="0"/>
        <w:rPr>
          <w:rFonts w:ascii="Arial" w:hAnsi="Arial" w:cs="Arial"/>
        </w:rPr>
      </w:pPr>
    </w:p>
    <w:tbl>
      <w:tblPr>
        <w:tblStyle w:val="Grilledutableau"/>
        <w:tblW w:w="9480" w:type="dxa"/>
        <w:tblInd w:w="409" w:type="dxa"/>
        <w:tblLook w:val="04A0" w:firstRow="1" w:lastRow="0" w:firstColumn="1" w:lastColumn="0" w:noHBand="0" w:noVBand="1"/>
      </w:tblPr>
      <w:tblGrid>
        <w:gridCol w:w="950"/>
        <w:gridCol w:w="6404"/>
        <w:gridCol w:w="2126"/>
      </w:tblGrid>
      <w:tr w:rsidR="000C7F0D" w14:paraId="7BB9EB31" w14:textId="77777777" w:rsidTr="000C7F0D">
        <w:trPr>
          <w:trHeight w:val="414"/>
        </w:trPr>
        <w:tc>
          <w:tcPr>
            <w:tcW w:w="95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AA30B71" w14:textId="77777777" w:rsidR="000C7F0D" w:rsidRPr="00CE4728" w:rsidRDefault="000C7F0D" w:rsidP="00CE4728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0" w:type="dxa"/>
            <w:gridSpan w:val="2"/>
            <w:vAlign w:val="center"/>
          </w:tcPr>
          <w:p w14:paraId="1BFAB336" w14:textId="77777777" w:rsidR="000C7F0D" w:rsidRPr="00CE4728" w:rsidRDefault="000C7F0D" w:rsidP="005D0752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Selon ordonnance sur la limitation et l’élimination des déchets (OLED)</w:t>
            </w:r>
          </w:p>
        </w:tc>
      </w:tr>
      <w:tr w:rsidR="000C7F0D" w14:paraId="1050BACD" w14:textId="77777777" w:rsidTr="00BD5D60">
        <w:trPr>
          <w:trHeight w:val="658"/>
        </w:trPr>
        <w:tc>
          <w:tcPr>
            <w:tcW w:w="950" w:type="dxa"/>
            <w:shd w:val="clear" w:color="auto" w:fill="E232DA"/>
            <w:vAlign w:val="center"/>
          </w:tcPr>
          <w:p w14:paraId="2680A911" w14:textId="77777777" w:rsidR="000C7F0D" w:rsidRPr="00CE4728" w:rsidRDefault="000C7F0D" w:rsidP="002C170A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Violet</w:t>
            </w:r>
          </w:p>
        </w:tc>
        <w:tc>
          <w:tcPr>
            <w:tcW w:w="6404" w:type="dxa"/>
            <w:vAlign w:val="center"/>
          </w:tcPr>
          <w:p w14:paraId="30E2CB2A" w14:textId="77777777" w:rsidR="000C7F0D" w:rsidRPr="00CE4728" w:rsidRDefault="000C7F0D" w:rsidP="005D0752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Matériaux </w:t>
            </w:r>
            <w:r w:rsidR="009364B9">
              <w:rPr>
                <w:rFonts w:ascii="Arial" w:hAnsi="Arial" w:cs="Arial"/>
                <w:sz w:val="18"/>
                <w:szCs w:val="18"/>
              </w:rPr>
              <w:t xml:space="preserve">pollués par des substances dangereuses, </w:t>
            </w:r>
            <w:r>
              <w:rPr>
                <w:rFonts w:ascii="Arial" w:hAnsi="Arial" w:cs="Arial"/>
                <w:sz w:val="18"/>
                <w:szCs w:val="18"/>
              </w:rPr>
              <w:t xml:space="preserve">ne satisfaisant pas aux exigences de l’annexe 5 ch. 5 </w:t>
            </w:r>
          </w:p>
        </w:tc>
        <w:tc>
          <w:tcPr>
            <w:tcW w:w="2126" w:type="dxa"/>
            <w:vAlign w:val="center"/>
          </w:tcPr>
          <w:p w14:paraId="0798E9DF" w14:textId="77777777" w:rsidR="000C7F0D" w:rsidRPr="00CE4728" w:rsidRDefault="000C7F0D" w:rsidP="00DB7912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Centre spécialisé</w:t>
            </w:r>
          </w:p>
        </w:tc>
      </w:tr>
      <w:tr w:rsidR="000C7F0D" w14:paraId="56299BF2" w14:textId="77777777" w:rsidTr="00CD4B20">
        <w:trPr>
          <w:trHeight w:val="414"/>
        </w:trPr>
        <w:tc>
          <w:tcPr>
            <w:tcW w:w="950" w:type="dxa"/>
            <w:shd w:val="clear" w:color="auto" w:fill="FF0000"/>
            <w:vAlign w:val="center"/>
          </w:tcPr>
          <w:p w14:paraId="041AF316" w14:textId="77777777" w:rsidR="000C7F0D" w:rsidRPr="00CE4728" w:rsidRDefault="000C7F0D" w:rsidP="00CE4728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728">
              <w:rPr>
                <w:rFonts w:ascii="Arial" w:hAnsi="Arial" w:cs="Arial"/>
                <w:sz w:val="18"/>
                <w:szCs w:val="18"/>
              </w:rPr>
              <w:t>Rouge</w:t>
            </w:r>
          </w:p>
        </w:tc>
        <w:tc>
          <w:tcPr>
            <w:tcW w:w="6404" w:type="dxa"/>
            <w:vAlign w:val="center"/>
          </w:tcPr>
          <w:p w14:paraId="18EC57B4" w14:textId="77777777" w:rsidR="000C7F0D" w:rsidRPr="00CE4728" w:rsidRDefault="000C7F0D" w:rsidP="005D0752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Matériaux </w:t>
            </w:r>
            <w:r w:rsidR="009364B9">
              <w:rPr>
                <w:rFonts w:ascii="Arial" w:hAnsi="Arial" w:cs="Arial"/>
                <w:sz w:val="18"/>
                <w:szCs w:val="18"/>
              </w:rPr>
              <w:t xml:space="preserve">fortement pollués, </w:t>
            </w:r>
            <w:r>
              <w:rPr>
                <w:rFonts w:ascii="Arial" w:hAnsi="Arial" w:cs="Arial"/>
                <w:sz w:val="18"/>
                <w:szCs w:val="18"/>
              </w:rPr>
              <w:t>satisfaisant aux exigences de l’annexe 5 ch. 5</w:t>
            </w:r>
          </w:p>
        </w:tc>
        <w:tc>
          <w:tcPr>
            <w:tcW w:w="2126" w:type="dxa"/>
            <w:vAlign w:val="center"/>
          </w:tcPr>
          <w:p w14:paraId="3DED5D85" w14:textId="77777777" w:rsidR="000C7F0D" w:rsidRPr="00CE4728" w:rsidRDefault="000C7F0D" w:rsidP="00DB7912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Compartiment type E</w:t>
            </w:r>
          </w:p>
        </w:tc>
      </w:tr>
      <w:tr w:rsidR="000C7F0D" w14:paraId="65240D7D" w14:textId="77777777" w:rsidTr="00BD5D60">
        <w:trPr>
          <w:trHeight w:val="526"/>
        </w:trPr>
        <w:tc>
          <w:tcPr>
            <w:tcW w:w="950" w:type="dxa"/>
            <w:shd w:val="clear" w:color="auto" w:fill="FF9933"/>
            <w:vAlign w:val="center"/>
          </w:tcPr>
          <w:p w14:paraId="15506A95" w14:textId="77777777" w:rsidR="000C7F0D" w:rsidRPr="00CE4728" w:rsidRDefault="000C7F0D" w:rsidP="00C40AE7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6404" w:type="dxa"/>
            <w:vAlign w:val="center"/>
          </w:tcPr>
          <w:p w14:paraId="49159D89" w14:textId="77777777" w:rsidR="000C7F0D" w:rsidRDefault="000C7F0D" w:rsidP="002E2263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Matériaux minéraux de buttes pare-balles, satisfaisant aux exigences de l’annexe 5 ch. 4</w:t>
            </w:r>
          </w:p>
        </w:tc>
        <w:tc>
          <w:tcPr>
            <w:tcW w:w="2126" w:type="dxa"/>
            <w:vAlign w:val="center"/>
          </w:tcPr>
          <w:p w14:paraId="5D496E94" w14:textId="77777777" w:rsidR="000C7F0D" w:rsidRDefault="000C7F0D" w:rsidP="00DB7912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Compartiment type D</w:t>
            </w:r>
          </w:p>
        </w:tc>
      </w:tr>
      <w:tr w:rsidR="000C7F0D" w14:paraId="33D21178" w14:textId="77777777" w:rsidTr="00CD4B20">
        <w:trPr>
          <w:trHeight w:val="414"/>
        </w:trPr>
        <w:tc>
          <w:tcPr>
            <w:tcW w:w="950" w:type="dxa"/>
            <w:shd w:val="clear" w:color="auto" w:fill="FFFF00"/>
            <w:vAlign w:val="center"/>
          </w:tcPr>
          <w:p w14:paraId="33265991" w14:textId="77777777" w:rsidR="000C7F0D" w:rsidRPr="00CE4728" w:rsidRDefault="000C7F0D" w:rsidP="00C40AE7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728">
              <w:rPr>
                <w:rFonts w:ascii="Arial" w:hAnsi="Arial" w:cs="Arial"/>
                <w:sz w:val="18"/>
                <w:szCs w:val="18"/>
              </w:rPr>
              <w:t>Jaune</w:t>
            </w:r>
          </w:p>
        </w:tc>
        <w:tc>
          <w:tcPr>
            <w:tcW w:w="6404" w:type="dxa"/>
            <w:vAlign w:val="center"/>
          </w:tcPr>
          <w:p w14:paraId="6146CB64" w14:textId="77777777" w:rsidR="000C7F0D" w:rsidRPr="00CE4728" w:rsidRDefault="000C7F0D" w:rsidP="00DB7912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Matériaux </w:t>
            </w:r>
            <w:r w:rsidR="009364B9">
              <w:rPr>
                <w:rFonts w:ascii="Arial" w:hAnsi="Arial" w:cs="Arial"/>
                <w:sz w:val="18"/>
                <w:szCs w:val="18"/>
              </w:rPr>
              <w:t xml:space="preserve">peu pollués, </w:t>
            </w:r>
            <w:r>
              <w:rPr>
                <w:rFonts w:ascii="Arial" w:hAnsi="Arial" w:cs="Arial"/>
                <w:sz w:val="18"/>
                <w:szCs w:val="18"/>
              </w:rPr>
              <w:t xml:space="preserve">satisfaisant aux exigences de l'annexe 5 ch. 2. </w:t>
            </w:r>
          </w:p>
        </w:tc>
        <w:tc>
          <w:tcPr>
            <w:tcW w:w="2126" w:type="dxa"/>
            <w:vAlign w:val="center"/>
          </w:tcPr>
          <w:p w14:paraId="73F5B29C" w14:textId="77777777" w:rsidR="000C7F0D" w:rsidRPr="00CE4728" w:rsidRDefault="000C7F0D" w:rsidP="00DB7912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Décharge type B </w:t>
            </w:r>
          </w:p>
        </w:tc>
      </w:tr>
      <w:tr w:rsidR="000C7F0D" w14:paraId="07C5A853" w14:textId="77777777" w:rsidTr="00CD4B20">
        <w:trPr>
          <w:trHeight w:val="414"/>
        </w:trPr>
        <w:tc>
          <w:tcPr>
            <w:tcW w:w="950" w:type="dxa"/>
            <w:shd w:val="clear" w:color="auto" w:fill="9CC2E5" w:themeFill="accent1" w:themeFillTint="99"/>
            <w:vAlign w:val="center"/>
          </w:tcPr>
          <w:p w14:paraId="1CF4F9BE" w14:textId="77777777" w:rsidR="000C7F0D" w:rsidRPr="00CE4728" w:rsidRDefault="000C7F0D" w:rsidP="00C40AE7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728">
              <w:rPr>
                <w:rFonts w:ascii="Arial" w:hAnsi="Arial" w:cs="Arial"/>
                <w:sz w:val="18"/>
                <w:szCs w:val="18"/>
              </w:rPr>
              <w:t>Bleu</w:t>
            </w:r>
          </w:p>
        </w:tc>
        <w:tc>
          <w:tcPr>
            <w:tcW w:w="6404" w:type="dxa"/>
            <w:vAlign w:val="center"/>
          </w:tcPr>
          <w:p w14:paraId="7D1DBCFF" w14:textId="77777777" w:rsidR="000C7F0D" w:rsidRPr="00CE4728" w:rsidRDefault="000C7F0D" w:rsidP="00DB7912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Matériaux faiblement pollués, satisfaisant aux exigences de l'annexe 3 ch. 2.</w:t>
            </w:r>
          </w:p>
        </w:tc>
        <w:tc>
          <w:tcPr>
            <w:tcW w:w="2126" w:type="dxa"/>
            <w:vAlign w:val="center"/>
          </w:tcPr>
          <w:p w14:paraId="78E86DB5" w14:textId="77777777" w:rsidR="000C7F0D" w:rsidRDefault="000C7F0D" w:rsidP="00DB7912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Décharge type B</w:t>
            </w:r>
          </w:p>
        </w:tc>
      </w:tr>
      <w:tr w:rsidR="000C7F0D" w14:paraId="5B1C6E00" w14:textId="77777777" w:rsidTr="00CD4B20">
        <w:trPr>
          <w:trHeight w:val="414"/>
        </w:trPr>
        <w:tc>
          <w:tcPr>
            <w:tcW w:w="950" w:type="dxa"/>
            <w:shd w:val="clear" w:color="auto" w:fill="70AD47" w:themeFill="accent6"/>
            <w:vAlign w:val="center"/>
          </w:tcPr>
          <w:p w14:paraId="44D73D76" w14:textId="77777777" w:rsidR="000C7F0D" w:rsidRPr="00CE4728" w:rsidRDefault="000C7F0D" w:rsidP="00C40AE7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728">
              <w:rPr>
                <w:rFonts w:ascii="Arial" w:hAnsi="Arial" w:cs="Arial"/>
                <w:sz w:val="18"/>
                <w:szCs w:val="18"/>
              </w:rPr>
              <w:t>Vert</w:t>
            </w:r>
          </w:p>
        </w:tc>
        <w:tc>
          <w:tcPr>
            <w:tcW w:w="6404" w:type="dxa"/>
            <w:vAlign w:val="center"/>
          </w:tcPr>
          <w:p w14:paraId="105DB262" w14:textId="77777777" w:rsidR="000C7F0D" w:rsidRPr="00CE4728" w:rsidRDefault="000C7F0D" w:rsidP="00DB7912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Matériaux non pollués, satisfaisant aux exigences de l'annexe 3 ch. 1.</w:t>
            </w:r>
          </w:p>
        </w:tc>
        <w:tc>
          <w:tcPr>
            <w:tcW w:w="2126" w:type="dxa"/>
            <w:vAlign w:val="center"/>
          </w:tcPr>
          <w:p w14:paraId="75911D42" w14:textId="77777777" w:rsidR="000C7F0D" w:rsidRDefault="000C7F0D" w:rsidP="00DB7912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Décharge type A</w:t>
            </w:r>
          </w:p>
        </w:tc>
      </w:tr>
    </w:tbl>
    <w:p w14:paraId="6CB4EE1C" w14:textId="77777777" w:rsidR="0062362C" w:rsidRPr="00732BC3" w:rsidRDefault="0062362C" w:rsidP="00732BC3">
      <w:pPr>
        <w:rPr>
          <w:rFonts w:ascii="Arial Black" w:eastAsia="Arial Black" w:hAnsi="Arial Black" w:cs="Arial Black"/>
          <w:b/>
          <w:bCs/>
          <w:position w:val="-1"/>
          <w:sz w:val="20"/>
          <w:szCs w:val="20"/>
          <w:u w:val="single" w:color="000000"/>
        </w:rPr>
      </w:pPr>
    </w:p>
    <w:sectPr w:rsidR="0062362C" w:rsidRPr="00732BC3" w:rsidSect="00DE1D38">
      <w:headerReference w:type="default" r:id="rId8"/>
      <w:footerReference w:type="default" r:id="rId9"/>
      <w:pgSz w:w="1192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4ABBB" w14:textId="77777777" w:rsidR="007B2845" w:rsidRDefault="007B2845" w:rsidP="000A73C2">
      <w:pPr>
        <w:spacing w:after="0" w:line="240" w:lineRule="auto"/>
      </w:pPr>
      <w:r>
        <w:separator/>
      </w:r>
    </w:p>
  </w:endnote>
  <w:endnote w:type="continuationSeparator" w:id="0">
    <w:p w14:paraId="3A2B90BD" w14:textId="77777777" w:rsidR="007B2845" w:rsidRDefault="007B2845" w:rsidP="000A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45405" w14:textId="37D84327" w:rsidR="009B4256" w:rsidRPr="009B4256" w:rsidRDefault="004B7501">
    <w:pPr>
      <w:pStyle w:val="Pieddepage"/>
      <w:pBdr>
        <w:top w:val="thinThickSmallGap" w:sz="24" w:space="1" w:color="823B0B" w:themeColor="accent2" w:themeShade="7F"/>
      </w:pBdr>
      <w:rPr>
        <w:rFonts w:ascii="Arial" w:hAnsi="Arial" w:cs="Arial"/>
        <w:color w:val="A6A6A6" w:themeColor="background1" w:themeShade="A6"/>
        <w:sz w:val="18"/>
        <w:szCs w:val="18"/>
      </w:rPr>
    </w:pPr>
    <w:r w:rsidRPr="004B7501">
      <w:rPr>
        <w:rFonts w:ascii="Arial" w:hAnsi="Arial" w:cs="Arial"/>
        <w:color w:val="A6A6A6" w:themeColor="background1" w:themeShade="A6"/>
        <w:sz w:val="18"/>
        <w:szCs w:val="18"/>
      </w:rPr>
      <w:t>Canevas_</w:t>
    </w:r>
    <w:r w:rsidR="002B2EAB">
      <w:rPr>
        <w:rFonts w:ascii="Arial" w:hAnsi="Arial" w:cs="Arial"/>
        <w:color w:val="A6A6A6" w:themeColor="background1" w:themeShade="A6"/>
        <w:sz w:val="18"/>
        <w:szCs w:val="18"/>
      </w:rPr>
      <w:t>modif_extensio_SP_v1</w:t>
    </w:r>
    <w:r w:rsidRPr="004B7501">
      <w:rPr>
        <w:rFonts w:ascii="Arial" w:hAnsi="Arial" w:cs="Arial"/>
        <w:color w:val="A6A6A6" w:themeColor="background1" w:themeShade="A6"/>
        <w:sz w:val="18"/>
        <w:szCs w:val="18"/>
      </w:rPr>
      <w:t>.docx</w:t>
    </w:r>
    <w:r w:rsidR="00BA438C" w:rsidRPr="009B4256">
      <w:rPr>
        <w:rFonts w:ascii="Arial" w:hAnsi="Arial" w:cs="Arial"/>
        <w:color w:val="A6A6A6" w:themeColor="background1" w:themeShade="A6"/>
        <w:sz w:val="18"/>
        <w:szCs w:val="18"/>
      </w:rPr>
      <w:ptab w:relativeTo="margin" w:alignment="right" w:leader="none"/>
    </w:r>
    <w:r w:rsidR="00BA438C" w:rsidRPr="009B4256">
      <w:rPr>
        <w:rFonts w:ascii="Arial" w:hAnsi="Arial" w:cs="Arial"/>
        <w:color w:val="A6A6A6" w:themeColor="background1" w:themeShade="A6"/>
        <w:sz w:val="18"/>
        <w:szCs w:val="18"/>
      </w:rPr>
      <w:t xml:space="preserve">Page </w:t>
    </w:r>
    <w:r w:rsidR="009B4256" w:rsidRPr="009B4256">
      <w:rPr>
        <w:rFonts w:ascii="Arial" w:hAnsi="Arial" w:cs="Arial"/>
        <w:color w:val="A6A6A6" w:themeColor="background1" w:themeShade="A6"/>
        <w:sz w:val="18"/>
        <w:szCs w:val="18"/>
      </w:rPr>
      <w:fldChar w:fldCharType="begin"/>
    </w:r>
    <w:r w:rsidR="009B4256" w:rsidRPr="009B4256">
      <w:rPr>
        <w:rFonts w:ascii="Arial" w:hAnsi="Arial" w:cs="Arial"/>
        <w:color w:val="A6A6A6" w:themeColor="background1" w:themeShade="A6"/>
        <w:sz w:val="18"/>
        <w:szCs w:val="18"/>
      </w:rPr>
      <w:instrText xml:space="preserve"> PAGE   \* MERGEFORMAT </w:instrText>
    </w:r>
    <w:r w:rsidR="009B4256" w:rsidRPr="009B4256">
      <w:rPr>
        <w:rFonts w:ascii="Arial" w:hAnsi="Arial" w:cs="Arial"/>
        <w:color w:val="A6A6A6" w:themeColor="background1" w:themeShade="A6"/>
        <w:sz w:val="18"/>
        <w:szCs w:val="18"/>
      </w:rPr>
      <w:fldChar w:fldCharType="separate"/>
    </w:r>
    <w:r w:rsidR="002A4192">
      <w:rPr>
        <w:rFonts w:ascii="Arial" w:hAnsi="Arial" w:cs="Arial"/>
        <w:noProof/>
        <w:color w:val="A6A6A6" w:themeColor="background1" w:themeShade="A6"/>
        <w:sz w:val="18"/>
        <w:szCs w:val="18"/>
      </w:rPr>
      <w:t>4</w:t>
    </w:r>
    <w:r w:rsidR="009B4256" w:rsidRPr="009B4256">
      <w:rPr>
        <w:rFonts w:ascii="Arial" w:hAnsi="Arial" w:cs="Arial"/>
        <w:noProof/>
        <w:color w:val="A6A6A6" w:themeColor="background1" w:themeShade="A6"/>
        <w:sz w:val="18"/>
        <w:szCs w:val="18"/>
      </w:rPr>
      <w:fldChar w:fldCharType="end"/>
    </w:r>
  </w:p>
  <w:p w14:paraId="7E77F963" w14:textId="77777777" w:rsidR="00802295" w:rsidRPr="009B4256" w:rsidRDefault="00802295">
    <w:pPr>
      <w:rPr>
        <w:rFonts w:ascii="Arial" w:hAnsi="Arial" w:cs="Arial"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10AB7" w14:textId="77777777" w:rsidR="007B2845" w:rsidRDefault="007B2845" w:rsidP="000A73C2">
      <w:pPr>
        <w:spacing w:after="0" w:line="240" w:lineRule="auto"/>
      </w:pPr>
      <w:r>
        <w:separator/>
      </w:r>
    </w:p>
  </w:footnote>
  <w:footnote w:type="continuationSeparator" w:id="0">
    <w:p w14:paraId="79E354F9" w14:textId="77777777" w:rsidR="007B2845" w:rsidRDefault="007B2845" w:rsidP="000A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8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1"/>
      <w:gridCol w:w="9357"/>
    </w:tblGrid>
    <w:tr w:rsidR="007D3759" w:rsidRPr="007D3759" w14:paraId="5D375306" w14:textId="77777777" w:rsidTr="00041030">
      <w:trPr>
        <w:trHeight w:hRule="exact" w:val="1418"/>
      </w:trPr>
      <w:tc>
        <w:tcPr>
          <w:tcW w:w="709" w:type="dxa"/>
        </w:tcPr>
        <w:bookmarkStart w:id="1" w:name="LogoGE"/>
        <w:p w14:paraId="58218EB3" w14:textId="77777777" w:rsidR="007D3759" w:rsidRPr="007D3759" w:rsidRDefault="007D3759" w:rsidP="007D375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Times New Roman"/>
              <w:sz w:val="20"/>
              <w:szCs w:val="20"/>
              <w:lang w:val="fr-FR" w:eastAsia="fr-FR"/>
            </w:rPr>
          </w:pPr>
          <w:r w:rsidRPr="007D3759">
            <w:rPr>
              <w:rFonts w:ascii="Arial" w:eastAsia="Times New Roman" w:hAnsi="Arial" w:cs="Times New Roman"/>
              <w:sz w:val="20"/>
              <w:szCs w:val="20"/>
              <w:lang w:val="fr-FR" w:eastAsia="fr-FR"/>
            </w:rPr>
            <w:fldChar w:fldCharType="begin"/>
          </w:r>
          <w:r w:rsidRPr="007D3759">
            <w:rPr>
              <w:rFonts w:ascii="Arial" w:eastAsia="Times New Roman" w:hAnsi="Arial" w:cs="Times New Roman"/>
              <w:sz w:val="20"/>
              <w:szCs w:val="20"/>
              <w:lang w:val="fr-FR" w:eastAsia="fr-FR"/>
            </w:rPr>
            <w:instrText xml:space="preserve"> MACROBUTTON AutoNew </w:instrText>
          </w:r>
          <w:r w:rsidRPr="007D3759">
            <w:rPr>
              <w:rFonts w:ascii="Arial" w:eastAsia="Times New Roman" w:hAnsi="Arial" w:cs="Times New Roman"/>
              <w:noProof/>
              <w:position w:val="6"/>
              <w:sz w:val="20"/>
              <w:szCs w:val="20"/>
              <w:lang w:eastAsia="fr-CH"/>
            </w:rPr>
            <w:drawing>
              <wp:inline distT="0" distB="0" distL="0" distR="0" wp14:anchorId="3AE72D7C" wp14:editId="51C8C20A">
                <wp:extent cx="333375" cy="542925"/>
                <wp:effectExtent l="0" t="0" r="9525" b="952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D3759">
            <w:rPr>
              <w:rFonts w:ascii="Arial" w:eastAsia="Times New Roman" w:hAnsi="Arial" w:cs="Times New Roman"/>
              <w:sz w:val="20"/>
              <w:szCs w:val="20"/>
              <w:lang w:val="fr-FR" w:eastAsia="fr-FR"/>
            </w:rPr>
            <w:fldChar w:fldCharType="end"/>
          </w:r>
          <w:bookmarkEnd w:id="1"/>
        </w:p>
        <w:p w14:paraId="1A6C5C92" w14:textId="77777777" w:rsidR="007D3759" w:rsidRPr="007D3759" w:rsidRDefault="007D3759" w:rsidP="007D3759">
          <w:pPr>
            <w:overflowPunct w:val="0"/>
            <w:autoSpaceDE w:val="0"/>
            <w:autoSpaceDN w:val="0"/>
            <w:adjustRightInd w:val="0"/>
            <w:spacing w:before="1200" w:after="0" w:line="240" w:lineRule="auto"/>
            <w:jc w:val="center"/>
            <w:textAlignment w:val="baseline"/>
            <w:rPr>
              <w:rFonts w:ascii="Arial" w:eastAsia="Times New Roman" w:hAnsi="Arial" w:cs="Times New Roman"/>
              <w:sz w:val="2"/>
              <w:szCs w:val="2"/>
              <w:lang w:val="fr-FR" w:eastAsia="fr-FR"/>
            </w:rPr>
          </w:pPr>
          <w:bookmarkStart w:id="2" w:name="OfficeLigne2"/>
          <w:bookmarkEnd w:id="2"/>
        </w:p>
      </w:tc>
      <w:tc>
        <w:tcPr>
          <w:tcW w:w="7798" w:type="dxa"/>
        </w:tcPr>
        <w:p w14:paraId="4A2803F6" w14:textId="77777777" w:rsidR="007D3759" w:rsidRPr="007D3759" w:rsidRDefault="007D3759" w:rsidP="007D3759">
          <w:pPr>
            <w:overflowPunct w:val="0"/>
            <w:autoSpaceDE w:val="0"/>
            <w:autoSpaceDN w:val="0"/>
            <w:adjustRightInd w:val="0"/>
            <w:spacing w:before="180" w:after="0" w:line="240" w:lineRule="auto"/>
            <w:textAlignment w:val="baseline"/>
            <w:rPr>
              <w:rFonts w:ascii="Arial" w:eastAsia="Times New Roman" w:hAnsi="Arial" w:cs="Times New Roman"/>
              <w:caps/>
              <w:sz w:val="18"/>
              <w:szCs w:val="18"/>
              <w:lang w:val="fr-FR" w:eastAsia="fr-FR"/>
            </w:rPr>
          </w:pPr>
          <w:r w:rsidRPr="007D3759">
            <w:rPr>
              <w:rFonts w:ascii="Arial" w:eastAsia="Times New Roman" w:hAnsi="Arial" w:cs="Times New Roman"/>
              <w:caps/>
              <w:sz w:val="18"/>
              <w:szCs w:val="18"/>
              <w:lang w:val="fr-FR" w:eastAsia="fr-FR"/>
            </w:rPr>
            <w:t>republique et canton de geneve</w:t>
          </w:r>
        </w:p>
        <w:p w14:paraId="7C2CD3AC" w14:textId="77777777" w:rsidR="007D3759" w:rsidRPr="007D3759" w:rsidRDefault="007D3759" w:rsidP="007D375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</w:pPr>
          <w:bookmarkStart w:id="3" w:name="DeptLigne1"/>
          <w:r w:rsidRPr="007D3759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t xml:space="preserve">Département </w:t>
          </w:r>
          <w:bookmarkEnd w:id="3"/>
          <w:r w:rsidR="00BA438C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t>du territoire</w:t>
          </w:r>
          <w:r w:rsidRPr="007D3759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fldChar w:fldCharType="begin"/>
          </w:r>
          <w:r w:rsidRPr="007D3759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instrText xml:space="preserve"> IF DeptLigne1 = "" "" </w:instrText>
          </w:r>
          <w:r w:rsidRPr="007D3759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fldChar w:fldCharType="begin"/>
          </w:r>
          <w:r w:rsidRPr="007D3759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instrText xml:space="preserve"> IF OfficeLigne2 = "" "</w:instrText>
          </w:r>
        </w:p>
        <w:p w14:paraId="5EC16F7C" w14:textId="77777777" w:rsidR="007D3759" w:rsidRPr="007D3759" w:rsidRDefault="007D3759" w:rsidP="007D375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</w:pPr>
          <w:r w:rsidRPr="007D3759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instrText>" "</w:instrText>
          </w:r>
        </w:p>
        <w:p w14:paraId="3DDEC795" w14:textId="77777777" w:rsidR="007D3759" w:rsidRPr="007D3759" w:rsidRDefault="007D3759" w:rsidP="007D375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sz w:val="18"/>
              <w:szCs w:val="18"/>
              <w:lang w:val="fr-FR" w:eastAsia="fr-FR"/>
            </w:rPr>
          </w:pPr>
          <w:r w:rsidRPr="007D3759">
            <w:rPr>
              <w:rFonts w:ascii="Arial" w:eastAsia="Times New Roman" w:hAnsi="Arial" w:cs="Times New Roman"/>
              <w:sz w:val="18"/>
              <w:szCs w:val="18"/>
              <w:lang w:val="fr-FR" w:eastAsia="fr-FR"/>
            </w:rPr>
            <w:fldChar w:fldCharType="begin"/>
          </w:r>
          <w:r w:rsidRPr="007D3759">
            <w:rPr>
              <w:rFonts w:ascii="Arial" w:eastAsia="Times New Roman" w:hAnsi="Arial" w:cs="Times New Roman"/>
              <w:sz w:val="18"/>
              <w:szCs w:val="18"/>
              <w:lang w:val="fr-FR" w:eastAsia="fr-FR"/>
            </w:rPr>
            <w:instrText xml:space="preserve"> REF OfficeLigne2\* Charformat </w:instrText>
          </w:r>
          <w:r w:rsidRPr="007D3759">
            <w:rPr>
              <w:rFonts w:ascii="Arial" w:eastAsia="Times New Roman" w:hAnsi="Arial" w:cs="Times New Roman"/>
              <w:sz w:val="18"/>
              <w:szCs w:val="18"/>
              <w:lang w:val="fr-FR" w:eastAsia="fr-FR"/>
            </w:rPr>
            <w:fldChar w:fldCharType="separate"/>
          </w:r>
          <w:r w:rsidRPr="007D3759">
            <w:rPr>
              <w:rFonts w:ascii="Arial" w:eastAsia="Times New Roman" w:hAnsi="Arial" w:cs="Times New Roman"/>
              <w:sz w:val="18"/>
              <w:szCs w:val="18"/>
              <w:lang w:val="fr-FR" w:eastAsia="fr-FR"/>
            </w:rPr>
            <w:instrText>Ordre d'enseignement du postobligatoire de l'enseignement</w:instrText>
          </w:r>
          <w:r w:rsidRPr="007D3759">
            <w:rPr>
              <w:rFonts w:ascii="Arial" w:eastAsia="Times New Roman" w:hAnsi="Arial" w:cs="Times New Roman"/>
              <w:sz w:val="18"/>
              <w:szCs w:val="18"/>
              <w:lang w:val="fr-FR" w:eastAsia="fr-FR"/>
            </w:rPr>
            <w:fldChar w:fldCharType="end"/>
          </w:r>
        </w:p>
        <w:p w14:paraId="4E9F8EBF" w14:textId="77777777" w:rsidR="002A4192" w:rsidRPr="007D3759" w:rsidRDefault="007D3759" w:rsidP="007D375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noProof/>
              <w:sz w:val="18"/>
              <w:szCs w:val="20"/>
              <w:lang w:val="fr-FR" w:eastAsia="fr-FR"/>
            </w:rPr>
          </w:pPr>
          <w:r w:rsidRPr="007D3759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instrText>"</w:instrText>
          </w:r>
          <w:r w:rsidRPr="007D3759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fldChar w:fldCharType="separate"/>
          </w:r>
        </w:p>
        <w:p w14:paraId="1A2AAD65" w14:textId="77777777" w:rsidR="002A4192" w:rsidRPr="007D3759" w:rsidRDefault="007D3759" w:rsidP="007D375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noProof/>
              <w:sz w:val="18"/>
              <w:szCs w:val="20"/>
              <w:lang w:val="fr-FR" w:eastAsia="fr-FR"/>
            </w:rPr>
          </w:pPr>
          <w:r w:rsidRPr="007D3759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fldChar w:fldCharType="end"/>
          </w:r>
          <w:r w:rsidRPr="007D3759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instrText xml:space="preserve"> </w:instrText>
          </w:r>
          <w:r w:rsidRPr="007D3759">
            <w:rPr>
              <w:rFonts w:ascii="Arial" w:eastAsia="Times New Roman" w:hAnsi="Arial" w:cs="Times New Roman"/>
              <w:b/>
              <w:sz w:val="18"/>
              <w:szCs w:val="20"/>
              <w:lang w:val="fr-FR" w:eastAsia="fr-FR"/>
            </w:rPr>
            <w:fldChar w:fldCharType="separate"/>
          </w:r>
        </w:p>
        <w:p w14:paraId="7FC12C71" w14:textId="77777777" w:rsidR="007D3759" w:rsidRPr="007D3759" w:rsidRDefault="007D3759" w:rsidP="007D375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b/>
              <w:szCs w:val="20"/>
              <w:lang w:val="fr-FR" w:eastAsia="fr-FR"/>
            </w:rPr>
          </w:pPr>
          <w:r w:rsidRPr="007D3759">
            <w:rPr>
              <w:rFonts w:ascii="Arial" w:eastAsia="Times New Roman" w:hAnsi="Arial" w:cs="Times New Roman"/>
              <w:b/>
              <w:szCs w:val="20"/>
              <w:lang w:val="fr-FR" w:eastAsia="fr-FR"/>
            </w:rPr>
            <w:fldChar w:fldCharType="end"/>
          </w:r>
          <w:r w:rsidR="00BA438C">
            <w:rPr>
              <w:rFonts w:ascii="Arial" w:eastAsia="Times New Roman" w:hAnsi="Arial" w:cs="Times New Roman"/>
              <w:b/>
              <w:szCs w:val="20"/>
              <w:lang w:val="fr-FR" w:eastAsia="fr-FR"/>
            </w:rPr>
            <w:t>Office cantonal</w:t>
          </w:r>
          <w:r w:rsidRPr="007D3759">
            <w:rPr>
              <w:rFonts w:ascii="Arial" w:eastAsia="Times New Roman" w:hAnsi="Arial" w:cs="Times New Roman"/>
              <w:b/>
              <w:szCs w:val="20"/>
              <w:lang w:val="fr-FR" w:eastAsia="fr-FR"/>
            </w:rPr>
            <w:t xml:space="preserve"> de l'environnement</w:t>
          </w:r>
        </w:p>
        <w:p w14:paraId="30D2DE11" w14:textId="77777777" w:rsidR="007D3759" w:rsidRPr="007D3759" w:rsidRDefault="007D3759" w:rsidP="007D375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b/>
              <w:szCs w:val="20"/>
              <w:lang w:val="fr-FR" w:eastAsia="fr-FR"/>
            </w:rPr>
          </w:pPr>
          <w:r w:rsidRPr="007D3759">
            <w:rPr>
              <w:rFonts w:ascii="Arial" w:eastAsia="Times New Roman" w:hAnsi="Arial" w:cs="Times New Roman"/>
              <w:b/>
              <w:szCs w:val="20"/>
              <w:lang w:val="fr-FR" w:eastAsia="fr-FR"/>
            </w:rPr>
            <w:t>Service de géologie, sols et déchets (GESDEC)</w:t>
          </w:r>
        </w:p>
        <w:p w14:paraId="249E0520" w14:textId="77777777" w:rsidR="007D3759" w:rsidRPr="007D3759" w:rsidRDefault="007D3759" w:rsidP="007D3759">
          <w:pPr>
            <w:spacing w:after="120"/>
            <w:ind w:left="788" w:hanging="431"/>
            <w:rPr>
              <w:rFonts w:ascii="Calibri" w:eastAsia="Calibri" w:hAnsi="Calibri" w:cs="Times New Roman"/>
              <w:b/>
            </w:rPr>
          </w:pPr>
          <w:bookmarkStart w:id="4" w:name="OfficeLigne3"/>
          <w:bookmarkEnd w:id="4"/>
        </w:p>
      </w:tc>
    </w:tr>
  </w:tbl>
  <w:p w14:paraId="2E78E213" w14:textId="77777777" w:rsidR="000848AA" w:rsidRPr="000848AA" w:rsidRDefault="000848AA" w:rsidP="007D3759">
    <w:pPr>
      <w:pStyle w:val="En-tte"/>
      <w:rPr>
        <w:rFonts w:ascii="Arial" w:hAnsi="Arial" w:cs="Arial"/>
        <w:color w:val="767171" w:themeColor="background2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015F"/>
    <w:multiLevelType w:val="hybridMultilevel"/>
    <w:tmpl w:val="A3F46092"/>
    <w:lvl w:ilvl="0" w:tplc="10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C4B3A08"/>
    <w:multiLevelType w:val="hybridMultilevel"/>
    <w:tmpl w:val="E91A2F9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12B15"/>
    <w:multiLevelType w:val="multilevel"/>
    <w:tmpl w:val="1FFC8A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A424D"/>
    <w:multiLevelType w:val="hybridMultilevel"/>
    <w:tmpl w:val="A72CE564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AC2565"/>
    <w:multiLevelType w:val="hybridMultilevel"/>
    <w:tmpl w:val="716CBF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7107A"/>
    <w:multiLevelType w:val="hybridMultilevel"/>
    <w:tmpl w:val="89341F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64E80"/>
    <w:multiLevelType w:val="multilevel"/>
    <w:tmpl w:val="3BF488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3E1E70"/>
    <w:multiLevelType w:val="multilevel"/>
    <w:tmpl w:val="3B823F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F1206A"/>
    <w:multiLevelType w:val="hybridMultilevel"/>
    <w:tmpl w:val="7486ADA2"/>
    <w:lvl w:ilvl="0" w:tplc="100C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28E1049F"/>
    <w:multiLevelType w:val="hybridMultilevel"/>
    <w:tmpl w:val="D1E49CCA"/>
    <w:lvl w:ilvl="0" w:tplc="10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304D35CA"/>
    <w:multiLevelType w:val="hybridMultilevel"/>
    <w:tmpl w:val="ADC61F78"/>
    <w:lvl w:ilvl="0" w:tplc="10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316E7DB0"/>
    <w:multiLevelType w:val="hybridMultilevel"/>
    <w:tmpl w:val="BDA03366"/>
    <w:lvl w:ilvl="0" w:tplc="3F40DE60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37" w:hanging="360"/>
      </w:pPr>
    </w:lvl>
    <w:lvl w:ilvl="2" w:tplc="100C001B" w:tentative="1">
      <w:start w:val="1"/>
      <w:numFmt w:val="lowerRoman"/>
      <w:lvlText w:val="%3."/>
      <w:lvlJc w:val="right"/>
      <w:pPr>
        <w:ind w:left="2157" w:hanging="180"/>
      </w:pPr>
    </w:lvl>
    <w:lvl w:ilvl="3" w:tplc="100C000F" w:tentative="1">
      <w:start w:val="1"/>
      <w:numFmt w:val="decimal"/>
      <w:lvlText w:val="%4."/>
      <w:lvlJc w:val="left"/>
      <w:pPr>
        <w:ind w:left="2877" w:hanging="360"/>
      </w:pPr>
    </w:lvl>
    <w:lvl w:ilvl="4" w:tplc="100C0019" w:tentative="1">
      <w:start w:val="1"/>
      <w:numFmt w:val="lowerLetter"/>
      <w:lvlText w:val="%5."/>
      <w:lvlJc w:val="left"/>
      <w:pPr>
        <w:ind w:left="3597" w:hanging="360"/>
      </w:pPr>
    </w:lvl>
    <w:lvl w:ilvl="5" w:tplc="100C001B" w:tentative="1">
      <w:start w:val="1"/>
      <w:numFmt w:val="lowerRoman"/>
      <w:lvlText w:val="%6."/>
      <w:lvlJc w:val="right"/>
      <w:pPr>
        <w:ind w:left="4317" w:hanging="180"/>
      </w:pPr>
    </w:lvl>
    <w:lvl w:ilvl="6" w:tplc="100C000F" w:tentative="1">
      <w:start w:val="1"/>
      <w:numFmt w:val="decimal"/>
      <w:lvlText w:val="%7."/>
      <w:lvlJc w:val="left"/>
      <w:pPr>
        <w:ind w:left="5037" w:hanging="360"/>
      </w:pPr>
    </w:lvl>
    <w:lvl w:ilvl="7" w:tplc="100C0019" w:tentative="1">
      <w:start w:val="1"/>
      <w:numFmt w:val="lowerLetter"/>
      <w:lvlText w:val="%8."/>
      <w:lvlJc w:val="left"/>
      <w:pPr>
        <w:ind w:left="5757" w:hanging="360"/>
      </w:pPr>
    </w:lvl>
    <w:lvl w:ilvl="8" w:tplc="10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DB03DD4"/>
    <w:multiLevelType w:val="hybridMultilevel"/>
    <w:tmpl w:val="26FCDACC"/>
    <w:lvl w:ilvl="0" w:tplc="10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3FCC3AB8"/>
    <w:multiLevelType w:val="hybridMultilevel"/>
    <w:tmpl w:val="CD54CEA4"/>
    <w:lvl w:ilvl="0" w:tplc="100C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4" w15:restartNumberingAfterBreak="0">
    <w:nsid w:val="40610FCA"/>
    <w:multiLevelType w:val="hybridMultilevel"/>
    <w:tmpl w:val="6BC00800"/>
    <w:lvl w:ilvl="0" w:tplc="100C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5" w15:restartNumberingAfterBreak="0">
    <w:nsid w:val="436A6C5F"/>
    <w:multiLevelType w:val="hybridMultilevel"/>
    <w:tmpl w:val="80A6043A"/>
    <w:lvl w:ilvl="0" w:tplc="100C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6" w15:restartNumberingAfterBreak="0">
    <w:nsid w:val="444830A4"/>
    <w:multiLevelType w:val="hybridMultilevel"/>
    <w:tmpl w:val="A0A683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44841"/>
    <w:multiLevelType w:val="multilevel"/>
    <w:tmpl w:val="9ECA3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9D78B1"/>
    <w:multiLevelType w:val="multilevel"/>
    <w:tmpl w:val="3BF488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BC607A3"/>
    <w:multiLevelType w:val="hybridMultilevel"/>
    <w:tmpl w:val="70F28A60"/>
    <w:lvl w:ilvl="0" w:tplc="10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5E0F1CE6"/>
    <w:multiLevelType w:val="hybridMultilevel"/>
    <w:tmpl w:val="9776F2B2"/>
    <w:lvl w:ilvl="0" w:tplc="100C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1" w15:restartNumberingAfterBreak="0">
    <w:nsid w:val="63D664E4"/>
    <w:multiLevelType w:val="multilevel"/>
    <w:tmpl w:val="F664DC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4321A46"/>
    <w:multiLevelType w:val="hybridMultilevel"/>
    <w:tmpl w:val="4DD448B4"/>
    <w:lvl w:ilvl="0" w:tplc="10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74B6531"/>
    <w:multiLevelType w:val="hybridMultilevel"/>
    <w:tmpl w:val="BF2CAAFA"/>
    <w:lvl w:ilvl="0" w:tplc="10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69BB6E98"/>
    <w:multiLevelType w:val="multilevel"/>
    <w:tmpl w:val="FBA2F9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56D33"/>
    <w:multiLevelType w:val="hybridMultilevel"/>
    <w:tmpl w:val="FF307040"/>
    <w:lvl w:ilvl="0" w:tplc="100C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6" w15:restartNumberingAfterBreak="0">
    <w:nsid w:val="6A700FED"/>
    <w:multiLevelType w:val="hybridMultilevel"/>
    <w:tmpl w:val="A1F24FBA"/>
    <w:lvl w:ilvl="0" w:tplc="63D0A90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1"/>
  </w:num>
  <w:num w:numId="5">
    <w:abstractNumId w:val="2"/>
  </w:num>
  <w:num w:numId="6">
    <w:abstractNumId w:val="12"/>
  </w:num>
  <w:num w:numId="7">
    <w:abstractNumId w:val="11"/>
  </w:num>
  <w:num w:numId="8">
    <w:abstractNumId w:val="22"/>
  </w:num>
  <w:num w:numId="9">
    <w:abstractNumId w:val="3"/>
  </w:num>
  <w:num w:numId="10">
    <w:abstractNumId w:val="21"/>
  </w:num>
  <w:num w:numId="11">
    <w:abstractNumId w:val="14"/>
  </w:num>
  <w:num w:numId="12">
    <w:abstractNumId w:val="10"/>
  </w:num>
  <w:num w:numId="13">
    <w:abstractNumId w:val="9"/>
  </w:num>
  <w:num w:numId="14">
    <w:abstractNumId w:val="7"/>
  </w:num>
  <w:num w:numId="15">
    <w:abstractNumId w:val="19"/>
  </w:num>
  <w:num w:numId="16">
    <w:abstractNumId w:val="4"/>
  </w:num>
  <w:num w:numId="17">
    <w:abstractNumId w:val="23"/>
  </w:num>
  <w:num w:numId="18">
    <w:abstractNumId w:val="0"/>
  </w:num>
  <w:num w:numId="19">
    <w:abstractNumId w:val="16"/>
  </w:num>
  <w:num w:numId="20">
    <w:abstractNumId w:val="6"/>
  </w:num>
  <w:num w:numId="21">
    <w:abstractNumId w:val="18"/>
  </w:num>
  <w:num w:numId="22">
    <w:abstractNumId w:val="13"/>
  </w:num>
  <w:num w:numId="23">
    <w:abstractNumId w:val="15"/>
  </w:num>
  <w:num w:numId="24">
    <w:abstractNumId w:val="20"/>
  </w:num>
  <w:num w:numId="25">
    <w:abstractNumId w:val="12"/>
  </w:num>
  <w:num w:numId="26">
    <w:abstractNumId w:val="25"/>
  </w:num>
  <w:num w:numId="27">
    <w:abstractNumId w:val="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fr-CH" w:vendorID="64" w:dllVersion="131078" w:nlCheck="1" w:checkStyle="0"/>
  <w:activeWritingStyle w:appName="MSWord" w:lang="fr-FR" w:vendorID="64" w:dllVersion="131078" w:nlCheck="1" w:checkStyle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BA"/>
    <w:rsid w:val="000107C6"/>
    <w:rsid w:val="00024B48"/>
    <w:rsid w:val="000273A3"/>
    <w:rsid w:val="00030F19"/>
    <w:rsid w:val="00033A48"/>
    <w:rsid w:val="00037174"/>
    <w:rsid w:val="00043FE7"/>
    <w:rsid w:val="000848AA"/>
    <w:rsid w:val="000953F9"/>
    <w:rsid w:val="000971D9"/>
    <w:rsid w:val="000A2070"/>
    <w:rsid w:val="000A21D4"/>
    <w:rsid w:val="000A73C2"/>
    <w:rsid w:val="000C5BCC"/>
    <w:rsid w:val="000C7F0D"/>
    <w:rsid w:val="000E3926"/>
    <w:rsid w:val="000F5A52"/>
    <w:rsid w:val="001145CE"/>
    <w:rsid w:val="001227D3"/>
    <w:rsid w:val="00125E58"/>
    <w:rsid w:val="001341BC"/>
    <w:rsid w:val="00141050"/>
    <w:rsid w:val="00151812"/>
    <w:rsid w:val="001620CA"/>
    <w:rsid w:val="00175934"/>
    <w:rsid w:val="001850AF"/>
    <w:rsid w:val="00196E57"/>
    <w:rsid w:val="001B06F4"/>
    <w:rsid w:val="001B24A2"/>
    <w:rsid w:val="001B3918"/>
    <w:rsid w:val="001D4537"/>
    <w:rsid w:val="001D620E"/>
    <w:rsid w:val="00201958"/>
    <w:rsid w:val="00203226"/>
    <w:rsid w:val="00216D19"/>
    <w:rsid w:val="00221286"/>
    <w:rsid w:val="0022574D"/>
    <w:rsid w:val="0022661F"/>
    <w:rsid w:val="002339CE"/>
    <w:rsid w:val="00241534"/>
    <w:rsid w:val="002649B7"/>
    <w:rsid w:val="002A4192"/>
    <w:rsid w:val="002A79C5"/>
    <w:rsid w:val="002B1FFC"/>
    <w:rsid w:val="002B2EAB"/>
    <w:rsid w:val="002C170A"/>
    <w:rsid w:val="002C4D5A"/>
    <w:rsid w:val="002C76C4"/>
    <w:rsid w:val="002C7E58"/>
    <w:rsid w:val="002D552F"/>
    <w:rsid w:val="002E1365"/>
    <w:rsid w:val="002E2263"/>
    <w:rsid w:val="003010F6"/>
    <w:rsid w:val="00323203"/>
    <w:rsid w:val="0032674B"/>
    <w:rsid w:val="003344A9"/>
    <w:rsid w:val="0033562A"/>
    <w:rsid w:val="003405B8"/>
    <w:rsid w:val="00345EBB"/>
    <w:rsid w:val="00352899"/>
    <w:rsid w:val="00364BA0"/>
    <w:rsid w:val="003703DC"/>
    <w:rsid w:val="00386624"/>
    <w:rsid w:val="003971E1"/>
    <w:rsid w:val="003A2BC1"/>
    <w:rsid w:val="003A6959"/>
    <w:rsid w:val="003B5F17"/>
    <w:rsid w:val="003C00CC"/>
    <w:rsid w:val="003C0F48"/>
    <w:rsid w:val="003C0FCA"/>
    <w:rsid w:val="003C2972"/>
    <w:rsid w:val="003F3582"/>
    <w:rsid w:val="003F6E70"/>
    <w:rsid w:val="00402267"/>
    <w:rsid w:val="00432732"/>
    <w:rsid w:val="004502C4"/>
    <w:rsid w:val="004529EB"/>
    <w:rsid w:val="004621AE"/>
    <w:rsid w:val="00464232"/>
    <w:rsid w:val="004805D3"/>
    <w:rsid w:val="00481F8B"/>
    <w:rsid w:val="00490A8E"/>
    <w:rsid w:val="004A7864"/>
    <w:rsid w:val="004B7501"/>
    <w:rsid w:val="004C3A17"/>
    <w:rsid w:val="004C5A05"/>
    <w:rsid w:val="004D1A14"/>
    <w:rsid w:val="004D5C49"/>
    <w:rsid w:val="004F43A6"/>
    <w:rsid w:val="004F4913"/>
    <w:rsid w:val="00500532"/>
    <w:rsid w:val="00504791"/>
    <w:rsid w:val="00524DDF"/>
    <w:rsid w:val="00527934"/>
    <w:rsid w:val="0054012A"/>
    <w:rsid w:val="005420DF"/>
    <w:rsid w:val="00553639"/>
    <w:rsid w:val="00563463"/>
    <w:rsid w:val="005725FC"/>
    <w:rsid w:val="00574D28"/>
    <w:rsid w:val="00583B2B"/>
    <w:rsid w:val="00583E61"/>
    <w:rsid w:val="00585262"/>
    <w:rsid w:val="005971C6"/>
    <w:rsid w:val="005A3CB2"/>
    <w:rsid w:val="005B0CC0"/>
    <w:rsid w:val="005D0752"/>
    <w:rsid w:val="005D1B7D"/>
    <w:rsid w:val="005E75A8"/>
    <w:rsid w:val="005E7654"/>
    <w:rsid w:val="0062362C"/>
    <w:rsid w:val="00635A1E"/>
    <w:rsid w:val="006414D6"/>
    <w:rsid w:val="006467BE"/>
    <w:rsid w:val="006470A2"/>
    <w:rsid w:val="00661FF9"/>
    <w:rsid w:val="00674E37"/>
    <w:rsid w:val="006765BB"/>
    <w:rsid w:val="00695B48"/>
    <w:rsid w:val="0069745A"/>
    <w:rsid w:val="006B0DB2"/>
    <w:rsid w:val="006B4350"/>
    <w:rsid w:val="006C2074"/>
    <w:rsid w:val="006D314E"/>
    <w:rsid w:val="006D4F2F"/>
    <w:rsid w:val="006F3FBF"/>
    <w:rsid w:val="006F4FFC"/>
    <w:rsid w:val="0070018B"/>
    <w:rsid w:val="0070094A"/>
    <w:rsid w:val="007158BA"/>
    <w:rsid w:val="00727B7F"/>
    <w:rsid w:val="00732BC3"/>
    <w:rsid w:val="00763971"/>
    <w:rsid w:val="0076397C"/>
    <w:rsid w:val="00767257"/>
    <w:rsid w:val="007842DC"/>
    <w:rsid w:val="00794B55"/>
    <w:rsid w:val="007A26A7"/>
    <w:rsid w:val="007B1FAE"/>
    <w:rsid w:val="007B2845"/>
    <w:rsid w:val="007B510E"/>
    <w:rsid w:val="007B797F"/>
    <w:rsid w:val="007C354A"/>
    <w:rsid w:val="007D2977"/>
    <w:rsid w:val="007D3759"/>
    <w:rsid w:val="007E2764"/>
    <w:rsid w:val="007E3385"/>
    <w:rsid w:val="00802295"/>
    <w:rsid w:val="008150FE"/>
    <w:rsid w:val="0083448C"/>
    <w:rsid w:val="00843BE7"/>
    <w:rsid w:val="00857F09"/>
    <w:rsid w:val="0087408F"/>
    <w:rsid w:val="00877E85"/>
    <w:rsid w:val="008806DD"/>
    <w:rsid w:val="00897E3B"/>
    <w:rsid w:val="008A2B13"/>
    <w:rsid w:val="008B2087"/>
    <w:rsid w:val="008B3A19"/>
    <w:rsid w:val="008F1F11"/>
    <w:rsid w:val="0090788D"/>
    <w:rsid w:val="00926E8F"/>
    <w:rsid w:val="009364B9"/>
    <w:rsid w:val="00945EFB"/>
    <w:rsid w:val="00950123"/>
    <w:rsid w:val="0095167A"/>
    <w:rsid w:val="00954BF4"/>
    <w:rsid w:val="009558BC"/>
    <w:rsid w:val="00973755"/>
    <w:rsid w:val="00982B0B"/>
    <w:rsid w:val="0098461D"/>
    <w:rsid w:val="0099312E"/>
    <w:rsid w:val="009B4256"/>
    <w:rsid w:val="009D2A05"/>
    <w:rsid w:val="009E28BC"/>
    <w:rsid w:val="009E28F3"/>
    <w:rsid w:val="009F0E6A"/>
    <w:rsid w:val="00A0020E"/>
    <w:rsid w:val="00A004FC"/>
    <w:rsid w:val="00A043B1"/>
    <w:rsid w:val="00A10A9D"/>
    <w:rsid w:val="00A33D2B"/>
    <w:rsid w:val="00A3665D"/>
    <w:rsid w:val="00A53C20"/>
    <w:rsid w:val="00A728B3"/>
    <w:rsid w:val="00A86101"/>
    <w:rsid w:val="00A86429"/>
    <w:rsid w:val="00A9403E"/>
    <w:rsid w:val="00A94DB9"/>
    <w:rsid w:val="00AA3E2F"/>
    <w:rsid w:val="00AA645B"/>
    <w:rsid w:val="00AA68DC"/>
    <w:rsid w:val="00AD03EC"/>
    <w:rsid w:val="00AD2EB2"/>
    <w:rsid w:val="00AE3B82"/>
    <w:rsid w:val="00AF45E1"/>
    <w:rsid w:val="00B224DE"/>
    <w:rsid w:val="00B238B0"/>
    <w:rsid w:val="00B314EF"/>
    <w:rsid w:val="00B434F4"/>
    <w:rsid w:val="00B44391"/>
    <w:rsid w:val="00B45FAD"/>
    <w:rsid w:val="00B51E2F"/>
    <w:rsid w:val="00B6039F"/>
    <w:rsid w:val="00B6101A"/>
    <w:rsid w:val="00B82A76"/>
    <w:rsid w:val="00B82A9E"/>
    <w:rsid w:val="00BA1F15"/>
    <w:rsid w:val="00BA27BB"/>
    <w:rsid w:val="00BA438C"/>
    <w:rsid w:val="00BB6497"/>
    <w:rsid w:val="00BC0FB6"/>
    <w:rsid w:val="00BD5D60"/>
    <w:rsid w:val="00BD72FF"/>
    <w:rsid w:val="00BE1C3D"/>
    <w:rsid w:val="00BE33BD"/>
    <w:rsid w:val="00BF3E84"/>
    <w:rsid w:val="00C0762F"/>
    <w:rsid w:val="00C272E5"/>
    <w:rsid w:val="00C274AD"/>
    <w:rsid w:val="00C40AE7"/>
    <w:rsid w:val="00C53218"/>
    <w:rsid w:val="00C551E0"/>
    <w:rsid w:val="00C87088"/>
    <w:rsid w:val="00CB54A6"/>
    <w:rsid w:val="00CC205D"/>
    <w:rsid w:val="00CC7A60"/>
    <w:rsid w:val="00CD37D9"/>
    <w:rsid w:val="00CD4476"/>
    <w:rsid w:val="00CD4B20"/>
    <w:rsid w:val="00CE265A"/>
    <w:rsid w:val="00CE4728"/>
    <w:rsid w:val="00D275A6"/>
    <w:rsid w:val="00D320EB"/>
    <w:rsid w:val="00D4477B"/>
    <w:rsid w:val="00D466B8"/>
    <w:rsid w:val="00D532B8"/>
    <w:rsid w:val="00D574C1"/>
    <w:rsid w:val="00D57AE6"/>
    <w:rsid w:val="00D828C1"/>
    <w:rsid w:val="00DB7912"/>
    <w:rsid w:val="00DC620F"/>
    <w:rsid w:val="00DE1D38"/>
    <w:rsid w:val="00DE3F91"/>
    <w:rsid w:val="00E0427D"/>
    <w:rsid w:val="00E05C2E"/>
    <w:rsid w:val="00E2004B"/>
    <w:rsid w:val="00E215F1"/>
    <w:rsid w:val="00E223DC"/>
    <w:rsid w:val="00E2310D"/>
    <w:rsid w:val="00E253E1"/>
    <w:rsid w:val="00E40C6A"/>
    <w:rsid w:val="00E51A29"/>
    <w:rsid w:val="00E5759C"/>
    <w:rsid w:val="00E677AD"/>
    <w:rsid w:val="00E67B98"/>
    <w:rsid w:val="00E929C8"/>
    <w:rsid w:val="00E92B05"/>
    <w:rsid w:val="00EB5D7C"/>
    <w:rsid w:val="00EC50E9"/>
    <w:rsid w:val="00EC52BD"/>
    <w:rsid w:val="00EC6EA9"/>
    <w:rsid w:val="00EC7A8F"/>
    <w:rsid w:val="00ED0EDD"/>
    <w:rsid w:val="00EF15D6"/>
    <w:rsid w:val="00F0178D"/>
    <w:rsid w:val="00F21A91"/>
    <w:rsid w:val="00F561EF"/>
    <w:rsid w:val="00F66BBA"/>
    <w:rsid w:val="00F709AF"/>
    <w:rsid w:val="00FA26FB"/>
    <w:rsid w:val="00FA38FA"/>
    <w:rsid w:val="00FB74B5"/>
    <w:rsid w:val="00FC1E9C"/>
    <w:rsid w:val="00FC39F2"/>
    <w:rsid w:val="00FC6A74"/>
    <w:rsid w:val="00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72D0F019"/>
  <w15:docId w15:val="{F8AD34DF-D7ED-4AFE-91E0-C09DE621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18B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857F09"/>
    <w:rPr>
      <w:b/>
      <w:bCs/>
      <w:i/>
      <w:iCs/>
      <w:spacing w:val="5"/>
    </w:rPr>
  </w:style>
  <w:style w:type="character" w:customStyle="1" w:styleId="Textedelespacerserv">
    <w:name w:val="Texte de l’espace réservé"/>
    <w:basedOn w:val="Policepardfaut"/>
    <w:uiPriority w:val="99"/>
    <w:semiHidden/>
    <w:rsid w:val="00BA1F15"/>
    <w:rPr>
      <w:color w:val="808080"/>
    </w:rPr>
  </w:style>
  <w:style w:type="paragraph" w:styleId="Paragraphedeliste">
    <w:name w:val="List Paragraph"/>
    <w:basedOn w:val="Normal"/>
    <w:uiPriority w:val="34"/>
    <w:qFormat/>
    <w:rsid w:val="00DE3F9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A3E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0A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73C2"/>
  </w:style>
  <w:style w:type="paragraph" w:styleId="Pieddepage">
    <w:name w:val="footer"/>
    <w:basedOn w:val="Normal"/>
    <w:link w:val="PieddepageCar"/>
    <w:uiPriority w:val="99"/>
    <w:unhideWhenUsed/>
    <w:rsid w:val="000A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73C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A73C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A73C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A73C2"/>
    <w:rPr>
      <w:vertAlign w:val="superscript"/>
    </w:rPr>
  </w:style>
  <w:style w:type="table" w:styleId="Grilledutableau">
    <w:name w:val="Table Grid"/>
    <w:basedOn w:val="TableauNormal"/>
    <w:rsid w:val="00BE3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22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806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06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06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06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06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10C3F-AF46-49A6-9C96-9A047ECC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1098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silvio.cuccodoro@etat.ge.ch</dc:creator>
  <cp:lastModifiedBy>Cuccodoro Silvio (DT)</cp:lastModifiedBy>
  <cp:revision>3</cp:revision>
  <cp:lastPrinted>2017-09-27T13:38:00Z</cp:lastPrinted>
  <dcterms:created xsi:type="dcterms:W3CDTF">2021-03-15T09:42:00Z</dcterms:created>
  <dcterms:modified xsi:type="dcterms:W3CDTF">2021-03-15T16:41:00Z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1763180213</vt:i4>
  </property>
  <property fmtid="{D5CDD505-2E9C-101B-9397-08002B2CF9AE}" pid="3" name="_NewReviewCycle">
    <vt:lpwstr/>
  </property>
  <property fmtid="{D5CDD505-2E9C-101B-9397-08002B2CF9AE}" pid="4" name="_EmailSubject">
    <vt:lpwstr>Canevas de rapport: modif de l'extension d'un SP</vt:lpwstr>
  </property>
  <property fmtid="{D5CDD505-2E9C-101B-9397-08002B2CF9AE}" pid="5" name="_AuthorEmail">
    <vt:lpwstr>alain.davit@etat.ge.ch</vt:lpwstr>
  </property>
  <property fmtid="{D5CDD505-2E9C-101B-9397-08002B2CF9AE}" pid="6" name="_AuthorEmailDisplayName">
    <vt:lpwstr>Davit Alain (DT)</vt:lpwstr>
  </property>
  <property fmtid="{D5CDD505-2E9C-101B-9397-08002B2CF9AE}" pid="7" name="_ReviewingToolsShownOnce">
    <vt:lpwstr/>
  </property>
</Properties>
</file>