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="-284" w:tblpY="-169"/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7088"/>
        <w:gridCol w:w="1984"/>
      </w:tblGrid>
      <w:tr w:rsidR="00981773" w:rsidTr="00981773">
        <w:trPr>
          <w:trHeight w:hRule="exact" w:val="1418"/>
        </w:trPr>
        <w:tc>
          <w:tcPr>
            <w:tcW w:w="709" w:type="dxa"/>
          </w:tcPr>
          <w:bookmarkStart w:id="0" w:name="LogoGE"/>
          <w:p w:rsidR="00981773" w:rsidRDefault="00981773" w:rsidP="00981773">
            <w:pPr>
              <w:pStyle w:val="Logo"/>
              <w:jc w:val="center"/>
            </w:pPr>
            <w:r>
              <w:fldChar w:fldCharType="begin"/>
            </w:r>
            <w:r>
              <w:instrText xml:space="preserve"> MACROBUTTON AutoNew </w:instrText>
            </w:r>
            <w:r>
              <w:rPr>
                <w:noProof/>
                <w:position w:val="6"/>
                <w:lang w:val="fr-CH" w:eastAsia="fr-CH"/>
              </w:rPr>
              <w:drawing>
                <wp:inline distT="0" distB="0" distL="0" distR="0" wp14:anchorId="4B22CFBF" wp14:editId="1188B2F9">
                  <wp:extent cx="318135" cy="540385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135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  <w:bookmarkEnd w:id="0"/>
          </w:p>
          <w:p w:rsidR="00981773" w:rsidRPr="00AA3C2A" w:rsidRDefault="00981773" w:rsidP="00981773">
            <w:pPr>
              <w:pStyle w:val="Logo"/>
              <w:spacing w:before="1200"/>
              <w:ind w:left="-284"/>
              <w:jc w:val="center"/>
              <w:rPr>
                <w:sz w:val="2"/>
                <w:szCs w:val="2"/>
              </w:rPr>
            </w:pPr>
            <w:bookmarkStart w:id="1" w:name="OfficeLigne2"/>
            <w:bookmarkEnd w:id="1"/>
          </w:p>
        </w:tc>
        <w:tc>
          <w:tcPr>
            <w:tcW w:w="7088" w:type="dxa"/>
          </w:tcPr>
          <w:p w:rsidR="00981773" w:rsidRDefault="00981773" w:rsidP="00981773">
            <w:pPr>
              <w:pStyle w:val="sigle"/>
            </w:pPr>
            <w:r>
              <w:t>republique et canton de gene</w:t>
            </w:r>
            <w:r w:rsidRPr="0024538B">
              <w:t>ve</w:t>
            </w:r>
          </w:p>
          <w:p w:rsidR="00981773" w:rsidRDefault="00981773" w:rsidP="00981773">
            <w:pPr>
              <w:pStyle w:val="sigle1"/>
            </w:pPr>
            <w:bookmarkStart w:id="2" w:name="DeptLigne1"/>
            <w:r>
              <w:t xml:space="preserve">Département </w:t>
            </w:r>
            <w:bookmarkEnd w:id="2"/>
            <w:r>
              <w:t>du territoire</w:t>
            </w:r>
            <w:r>
              <w:fldChar w:fldCharType="begin"/>
            </w:r>
            <w:r>
              <w:instrText xml:space="preserve"> IF </w:instrText>
            </w:r>
            <w:r w:rsidRPr="000C6D24">
              <w:instrText>DeptLigne1</w:instrText>
            </w:r>
            <w:r>
              <w:instrText xml:space="preserve"> = "" "" </w:instrText>
            </w:r>
            <w:r>
              <w:fldChar w:fldCharType="begin"/>
            </w:r>
            <w:r>
              <w:instrText xml:space="preserve"> IF OfficeLigne2 = "" "</w:instrText>
            </w:r>
          </w:p>
          <w:p w:rsidR="00981773" w:rsidRDefault="00981773" w:rsidP="00981773">
            <w:pPr>
              <w:pStyle w:val="sigle1"/>
            </w:pPr>
            <w:r>
              <w:instrText>" "</w:instrText>
            </w:r>
          </w:p>
          <w:p w:rsidR="00981773" w:rsidRPr="005F4E7F" w:rsidRDefault="00981773" w:rsidP="00981773">
            <w:pPr>
              <w:pStyle w:val="Office"/>
              <w:rPr>
                <w:b w:val="0"/>
                <w:sz w:val="18"/>
                <w:szCs w:val="18"/>
              </w:rPr>
            </w:pPr>
            <w:r w:rsidRPr="005F4E7F">
              <w:rPr>
                <w:b w:val="0"/>
                <w:sz w:val="18"/>
                <w:szCs w:val="18"/>
              </w:rPr>
              <w:fldChar w:fldCharType="begin"/>
            </w:r>
            <w:r w:rsidRPr="005F4E7F">
              <w:rPr>
                <w:b w:val="0"/>
                <w:sz w:val="18"/>
                <w:szCs w:val="18"/>
              </w:rPr>
              <w:instrText xml:space="preserve"> REF OfficeLigne2\* Charformat </w:instrText>
            </w:r>
            <w:r w:rsidRPr="005F4E7F">
              <w:rPr>
                <w:b w:val="0"/>
                <w:sz w:val="18"/>
                <w:szCs w:val="18"/>
              </w:rPr>
              <w:fldChar w:fldCharType="separate"/>
            </w:r>
            <w:r w:rsidRPr="005F4E7F">
              <w:rPr>
                <w:b w:val="0"/>
                <w:sz w:val="18"/>
                <w:szCs w:val="18"/>
              </w:rPr>
              <w:instrText>Ordre d'enseignement du postobligatoire de l'enseignement</w:instrText>
            </w:r>
            <w:r w:rsidRPr="005F4E7F">
              <w:rPr>
                <w:b w:val="0"/>
                <w:sz w:val="18"/>
                <w:szCs w:val="18"/>
              </w:rPr>
              <w:fldChar w:fldCharType="end"/>
            </w:r>
          </w:p>
          <w:p w:rsidR="00981773" w:rsidRDefault="00981773" w:rsidP="00981773">
            <w:pPr>
              <w:pStyle w:val="sigle1"/>
              <w:rPr>
                <w:noProof/>
              </w:rPr>
            </w:pPr>
            <w:r>
              <w:instrText>"</w:instrText>
            </w:r>
            <w:r>
              <w:fldChar w:fldCharType="separate"/>
            </w:r>
          </w:p>
          <w:p w:rsidR="00981773" w:rsidRDefault="00981773" w:rsidP="00981773">
            <w:pPr>
              <w:pStyle w:val="sigle1"/>
              <w:rPr>
                <w:noProof/>
              </w:rPr>
            </w:pPr>
            <w:r>
              <w:fldChar w:fldCharType="end"/>
            </w:r>
            <w:r>
              <w:instrText xml:space="preserve"> </w:instrText>
            </w:r>
            <w:r>
              <w:rPr>
                <w:b/>
              </w:rPr>
              <w:fldChar w:fldCharType="separate"/>
            </w:r>
          </w:p>
          <w:p w:rsidR="00981773" w:rsidRPr="00F3701E" w:rsidRDefault="00981773" w:rsidP="00981773">
            <w:pPr>
              <w:pStyle w:val="Office"/>
            </w:pPr>
            <w:r>
              <w:fldChar w:fldCharType="end"/>
            </w:r>
            <w:bookmarkStart w:id="3" w:name="OfficeLigne1"/>
            <w:r>
              <w:t>Office cantonal de l'énergie</w:t>
            </w:r>
            <w:bookmarkEnd w:id="3"/>
          </w:p>
          <w:p w:rsidR="00981773" w:rsidRPr="005F1501" w:rsidRDefault="00981773" w:rsidP="00981773">
            <w:bookmarkStart w:id="4" w:name="OfficeLigne3"/>
            <w:bookmarkEnd w:id="4"/>
          </w:p>
        </w:tc>
        <w:tc>
          <w:tcPr>
            <w:tcW w:w="1984" w:type="dxa"/>
          </w:tcPr>
          <w:p w:rsidR="00981773" w:rsidRPr="007D4D3C" w:rsidRDefault="00981773" w:rsidP="00981773">
            <w:pPr>
              <w:pStyle w:val="sigle1"/>
              <w:rPr>
                <w:sz w:val="8"/>
                <w:szCs w:val="8"/>
              </w:rPr>
            </w:pPr>
            <w:bookmarkStart w:id="5" w:name="DeptLigne2"/>
            <w:bookmarkEnd w:id="5"/>
          </w:p>
          <w:p w:rsidR="00981773" w:rsidRDefault="00981773" w:rsidP="00981773">
            <w:pPr>
              <w:pStyle w:val="sigle1"/>
              <w:rPr>
                <w:sz w:val="8"/>
                <w:szCs w:val="8"/>
              </w:rPr>
            </w:pPr>
            <w:bookmarkStart w:id="6" w:name="DeptLigne3"/>
            <w:bookmarkEnd w:id="6"/>
          </w:p>
          <w:p w:rsidR="00981773" w:rsidRDefault="00981773" w:rsidP="00981773">
            <w:pPr>
              <w:pStyle w:val="Logo"/>
            </w:pPr>
            <w:bookmarkStart w:id="7" w:name="LogoService"/>
            <w:bookmarkStart w:id="8" w:name="LogoDepartement"/>
            <w:bookmarkEnd w:id="7"/>
            <w:bookmarkEnd w:id="8"/>
            <w:r>
              <w:t xml:space="preserve">Version 2 </w:t>
            </w:r>
          </w:p>
          <w:p w:rsidR="00981773" w:rsidRDefault="00981773" w:rsidP="00981773">
            <w:pPr>
              <w:pStyle w:val="Logo"/>
            </w:pPr>
            <w:r>
              <w:t>29.07.2022</w:t>
            </w:r>
          </w:p>
        </w:tc>
      </w:tr>
    </w:tbl>
    <w:p w:rsidR="00B963A9" w:rsidRDefault="002B1D2B" w:rsidP="00981773">
      <w:r>
        <w:br w:type="column"/>
      </w:r>
    </w:p>
    <w:p w:rsidR="00B963A9" w:rsidRDefault="00B963A9" w:rsidP="00A61901">
      <w:pPr>
        <w:sectPr w:rsidR="00B963A9" w:rsidSect="00981773">
          <w:footerReference w:type="default" r:id="rId9"/>
          <w:type w:val="continuous"/>
          <w:pgSz w:w="11900" w:h="16840"/>
          <w:pgMar w:top="1417" w:right="1417" w:bottom="1417" w:left="1417" w:header="720" w:footer="646" w:gutter="0"/>
          <w:pgNumType w:start="1"/>
          <w:cols w:num="2" w:space="720" w:equalWidth="0">
            <w:col w:w="4877" w:space="2818"/>
            <w:col w:w="1371"/>
          </w:cols>
          <w:docGrid w:linePitch="299"/>
        </w:sectPr>
      </w:pPr>
    </w:p>
    <w:p w:rsidR="00B963A9" w:rsidRDefault="00B963A9" w:rsidP="00A61901">
      <w:pPr>
        <w:pStyle w:val="Corpsdetexte"/>
      </w:pPr>
    </w:p>
    <w:p w:rsidR="00B963A9" w:rsidRDefault="00B963A9" w:rsidP="00A61901">
      <w:pPr>
        <w:pStyle w:val="Corpsdetexte"/>
      </w:pPr>
    </w:p>
    <w:p w:rsidR="00B963A9" w:rsidRDefault="00B963A9" w:rsidP="00A61901">
      <w:pPr>
        <w:pStyle w:val="Corpsdetexte"/>
      </w:pPr>
    </w:p>
    <w:p w:rsidR="00B963A9" w:rsidRDefault="00B963A9" w:rsidP="00A61901">
      <w:pPr>
        <w:pStyle w:val="Corpsdetexte"/>
      </w:pPr>
    </w:p>
    <w:p w:rsidR="00B963A9" w:rsidRDefault="00A61901" w:rsidP="00981773">
      <w:pPr>
        <w:pStyle w:val="Titre1"/>
        <w:ind w:left="0"/>
        <w:jc w:val="center"/>
        <w:sectPr w:rsidR="00B963A9" w:rsidSect="00981773">
          <w:type w:val="continuous"/>
          <w:pgSz w:w="11900" w:h="16840"/>
          <w:pgMar w:top="1417" w:right="1417" w:bottom="1417" w:left="1417" w:header="720" w:footer="720" w:gutter="0"/>
          <w:cols w:space="720"/>
          <w:docGrid w:linePitch="299"/>
        </w:sectPr>
      </w:pPr>
      <w:r w:rsidRPr="00A61901">
        <w:t>Directive relative au concept énergétique de</w:t>
      </w:r>
      <w:r>
        <w:t xml:space="preserve"> </w:t>
      </w:r>
      <w:r w:rsidRPr="00A61901">
        <w:t>bâtiment</w:t>
      </w:r>
      <w:r w:rsidR="00981773">
        <w:t xml:space="preserve"> (CEB)</w:t>
      </w:r>
    </w:p>
    <w:p w:rsidR="00B963A9" w:rsidRDefault="002B1D2B" w:rsidP="005A41CB">
      <w:pPr>
        <w:pStyle w:val="Titre2"/>
      </w:pPr>
      <w:r w:rsidRPr="00A61901">
        <w:lastRenderedPageBreak/>
        <w:t>Introduction</w:t>
      </w:r>
    </w:p>
    <w:p w:rsidR="00A61901" w:rsidRPr="00A61901" w:rsidRDefault="00487A51" w:rsidP="00981773">
      <w:r>
        <w:t xml:space="preserve">La présente directive précise </w:t>
      </w:r>
      <w:r w:rsidR="00A61901">
        <w:t>les modalités pratique d'élaboration du concept énergétique de bâtiment exigé dans le cadre d'une requête en autorisation de construire pour certains projets d</w:t>
      </w:r>
      <w:r w:rsidR="00981773">
        <w:t xml:space="preserve">e </w:t>
      </w:r>
      <w:r w:rsidR="00F03879">
        <w:t>construction ou de rénovation (a</w:t>
      </w:r>
      <w:r w:rsidR="00981773">
        <w:t>rt. 13</w:t>
      </w:r>
      <w:r w:rsidR="00F03879">
        <w:t xml:space="preserve"> du règlement d'application de la loi sur l'énergie – REn;</w:t>
      </w:r>
      <w:r w:rsidR="00981773">
        <w:t xml:space="preserve"> </w:t>
      </w:r>
      <w:r w:rsidR="00F03879">
        <w:br/>
      </w:r>
      <w:r w:rsidR="00981773">
        <w:t>L 2 30.01</w:t>
      </w:r>
      <w:r w:rsidR="00F03879">
        <w:t>;</w:t>
      </w:r>
      <w:r w:rsidR="00981773">
        <w:t xml:space="preserve"> ci-après REn).</w:t>
      </w:r>
    </w:p>
    <w:p w:rsidR="00393369" w:rsidRPr="005A41CB" w:rsidRDefault="00A61901" w:rsidP="00A61901">
      <w:r>
        <w:t>Par concept énergétique de bâtiment, on entend le produit d'une démarche systématique incluant l'élaboration de variantes qui vise à limiter les besoins en énergie d'une construction et de ses installations et à minimiser le recours aux énergies non renouvelables. Il repose sur l'élaboration d'un concept architectural et technique cohérent en fonction du besoin des utilisateurs, des opportunités et des contraintes que prése</w:t>
      </w:r>
      <w:r w:rsidR="00F03879">
        <w:t>nte l'environnement du projet (a</w:t>
      </w:r>
      <w:r>
        <w:t>rt. 6 al. 12 de la loi sur l'énergie</w:t>
      </w:r>
      <w:r w:rsidR="00F03879">
        <w:t xml:space="preserve"> – LEn; L 2 30;</w:t>
      </w:r>
      <w:r>
        <w:t xml:space="preserve"> ci-après LEn).</w:t>
      </w:r>
    </w:p>
    <w:p w:rsidR="00B963A9" w:rsidRDefault="00981773" w:rsidP="005A41CB">
      <w:pPr>
        <w:pStyle w:val="Titre2"/>
      </w:pPr>
      <w:r>
        <w:t>Construction neuve</w:t>
      </w:r>
    </w:p>
    <w:p w:rsidR="00B963A9" w:rsidRDefault="00393369" w:rsidP="00A61901">
      <w:pPr>
        <w:pStyle w:val="Corpsdetexte"/>
      </w:pPr>
      <w:r>
        <w:t>Les</w:t>
      </w:r>
      <w:r w:rsidR="00F03879">
        <w:t xml:space="preserve"> personnes requérantes</w:t>
      </w:r>
      <w:r>
        <w:t xml:space="preserve"> d'autorisation de construire comprenant des bâtiments neufs d'importance sont soumis</w:t>
      </w:r>
      <w:r w:rsidR="00F03879">
        <w:t>es à l'obligation d'établir</w:t>
      </w:r>
      <w:r>
        <w:t xml:space="preserve"> un CEB. </w:t>
      </w:r>
    </w:p>
    <w:p w:rsidR="00393369" w:rsidRDefault="005A41CB" w:rsidP="00A61901">
      <w:pPr>
        <w:pStyle w:val="Corpsdetexte"/>
      </w:pPr>
      <w:r>
        <w:t>Les</w:t>
      </w:r>
      <w:r w:rsidR="00393369">
        <w:t xml:space="preserve"> bâtiment</w:t>
      </w:r>
      <w:r>
        <w:t>s</w:t>
      </w:r>
      <w:r w:rsidR="00393369">
        <w:t xml:space="preserve"> d'importance</w:t>
      </w:r>
      <w:r>
        <w:t>s</w:t>
      </w:r>
      <w:r w:rsidR="00393369">
        <w:t xml:space="preserve"> </w:t>
      </w:r>
      <w:r>
        <w:t>sont</w:t>
      </w:r>
      <w:r w:rsidR="00393369">
        <w:t xml:space="preserve"> </w:t>
      </w:r>
      <w:r w:rsidR="00F03879">
        <w:t>les</w:t>
      </w:r>
      <w:r w:rsidR="00393369">
        <w:t xml:space="preserve"> bâtiment</w:t>
      </w:r>
      <w:r>
        <w:t>s</w:t>
      </w:r>
      <w:r w:rsidR="00393369">
        <w:t xml:space="preserve"> qui </w:t>
      </w:r>
      <w:r>
        <w:t>ont</w:t>
      </w:r>
      <w:r w:rsidR="00393369">
        <w:t xml:space="preserve"> une surface de référence énergétique</w:t>
      </w:r>
      <w:r>
        <w:t>, individuellement ou conjointement,</w:t>
      </w:r>
      <w:r w:rsidR="00393369">
        <w:t xml:space="preserve"> supérieure :</w:t>
      </w:r>
    </w:p>
    <w:p w:rsidR="00393369" w:rsidRDefault="00393369" w:rsidP="00393369">
      <w:pPr>
        <w:pStyle w:val="Corpsdetexte"/>
        <w:numPr>
          <w:ilvl w:val="0"/>
          <w:numId w:val="3"/>
        </w:numPr>
      </w:pPr>
      <w:r>
        <w:t>À 3'000 m</w:t>
      </w:r>
      <w:r w:rsidRPr="00393369">
        <w:rPr>
          <w:vertAlign w:val="superscript"/>
        </w:rPr>
        <w:t>2</w:t>
      </w:r>
      <w:r>
        <w:t xml:space="preserve"> pour les bâtiments destinés au logement.</w:t>
      </w:r>
    </w:p>
    <w:p w:rsidR="00393369" w:rsidRDefault="00393369" w:rsidP="00393369">
      <w:pPr>
        <w:pStyle w:val="Corpsdetexte"/>
        <w:numPr>
          <w:ilvl w:val="0"/>
          <w:numId w:val="3"/>
        </w:numPr>
      </w:pPr>
      <w:r>
        <w:t>À 2'000 m</w:t>
      </w:r>
      <w:r w:rsidRPr="00393369">
        <w:rPr>
          <w:vertAlign w:val="superscript"/>
        </w:rPr>
        <w:t>2</w:t>
      </w:r>
      <w:r>
        <w:t xml:space="preserve"> pour les bâtiments destinés à d'autres affectations.</w:t>
      </w:r>
    </w:p>
    <w:p w:rsidR="00393369" w:rsidRDefault="00393369" w:rsidP="00393369">
      <w:pPr>
        <w:pStyle w:val="Corpsdetexte"/>
      </w:pPr>
      <w:r>
        <w:t xml:space="preserve">Les bâtiments appartenant aux collectivités publiques sont également soumis </w:t>
      </w:r>
      <w:r w:rsidR="00F03879">
        <w:t>à l'obligation d'établissement d'un</w:t>
      </w:r>
      <w:r>
        <w:t xml:space="preserve"> CEB. </w:t>
      </w:r>
    </w:p>
    <w:p w:rsidR="00393369" w:rsidRDefault="00F03879" w:rsidP="00A61901">
      <w:pPr>
        <w:pStyle w:val="Corpsdetexte"/>
        <w:rPr>
          <w:lang w:val="fr-FR"/>
        </w:rPr>
      </w:pPr>
      <w:r>
        <w:t xml:space="preserve">Un CEB comprend </w:t>
      </w:r>
      <w:r w:rsidR="00393369">
        <w:t xml:space="preserve">au minimum une variante conforme </w:t>
      </w:r>
      <w:r w:rsidR="00393369" w:rsidRPr="00393369">
        <w:t>à un standard de haute performance énergétique au sens de l'article 12B</w:t>
      </w:r>
      <w:r w:rsidR="00393369">
        <w:t xml:space="preserve"> (</w:t>
      </w:r>
      <w:r w:rsidR="00393369" w:rsidRPr="005A41CB">
        <w:rPr>
          <w:b/>
        </w:rPr>
        <w:t>HPE</w:t>
      </w:r>
      <w:r w:rsidR="00393369">
        <w:t xml:space="preserve">) et une variante conforme </w:t>
      </w:r>
      <w:r w:rsidR="00393369">
        <w:rPr>
          <w:lang w:val="fr-FR"/>
        </w:rPr>
        <w:t>à un standard de très haute performance énergétique au sens de l'article 12C (</w:t>
      </w:r>
      <w:r w:rsidR="00393369" w:rsidRPr="005A41CB">
        <w:rPr>
          <w:b/>
          <w:lang w:val="fr-FR"/>
        </w:rPr>
        <w:t>THPE 2000W</w:t>
      </w:r>
      <w:r w:rsidR="00393369">
        <w:rPr>
          <w:lang w:val="fr-FR"/>
        </w:rPr>
        <w:t>). Un positionnement clair sur le choix de la variante retenue doit être faite.</w:t>
      </w:r>
    </w:p>
    <w:p w:rsidR="00B963A9" w:rsidRPr="005A41CB" w:rsidRDefault="00393369" w:rsidP="00A61901">
      <w:pPr>
        <w:pStyle w:val="Corpsdetexte"/>
        <w:rPr>
          <w:lang w:val="fr-FR"/>
        </w:rPr>
      </w:pPr>
      <w:r>
        <w:rPr>
          <w:lang w:val="fr-FR"/>
        </w:rPr>
        <w:t xml:space="preserve">Un bâtiment conforme à un standard THPE est exempté </w:t>
      </w:r>
      <w:r w:rsidR="00F03879">
        <w:rPr>
          <w:lang w:val="fr-FR"/>
        </w:rPr>
        <w:t xml:space="preserve">de l'obligation d'établissement d'un </w:t>
      </w:r>
      <w:r>
        <w:rPr>
          <w:lang w:val="fr-FR"/>
        </w:rPr>
        <w:t>CEB.</w:t>
      </w:r>
    </w:p>
    <w:p w:rsidR="002B1D2B" w:rsidRDefault="00981773" w:rsidP="005A41CB">
      <w:pPr>
        <w:pStyle w:val="Titre2"/>
      </w:pPr>
      <w:r>
        <w:t>Rénovation d'un bâtiment</w:t>
      </w:r>
    </w:p>
    <w:p w:rsidR="00981773" w:rsidRDefault="00393369" w:rsidP="00981773">
      <w:r>
        <w:t>Les bâtiments</w:t>
      </w:r>
      <w:r w:rsidR="005A41CB">
        <w:t xml:space="preserve"> d'importance,</w:t>
      </w:r>
      <w:r w:rsidR="005A41CB" w:rsidRPr="005A41CB">
        <w:t xml:space="preserve"> </w:t>
      </w:r>
      <w:r w:rsidR="005A41CB">
        <w:t>ou des collectivités publiques,</w:t>
      </w:r>
      <w:r>
        <w:t xml:space="preserve"> réno</w:t>
      </w:r>
      <w:r w:rsidR="00F03879">
        <w:t>vés dont les travaux concernent </w:t>
      </w:r>
      <w:r>
        <w:t>:</w:t>
      </w:r>
    </w:p>
    <w:p w:rsidR="00393369" w:rsidRDefault="00393369" w:rsidP="00393369">
      <w:pPr>
        <w:pStyle w:val="Paragraphedeliste"/>
        <w:numPr>
          <w:ilvl w:val="0"/>
          <w:numId w:val="4"/>
        </w:numPr>
      </w:pPr>
      <w:r>
        <w:t xml:space="preserve">plus </w:t>
      </w:r>
      <w:r w:rsidRPr="00393369">
        <w:t xml:space="preserve">de 15% de l'enveloppe thermique hors sol </w:t>
      </w:r>
    </w:p>
    <w:p w:rsidR="00393369" w:rsidRDefault="00393369" w:rsidP="00393369">
      <w:pPr>
        <w:pStyle w:val="Paragraphedeliste"/>
        <w:numPr>
          <w:ilvl w:val="0"/>
          <w:numId w:val="4"/>
        </w:numPr>
      </w:pPr>
      <w:r>
        <w:t>et/ou l</w:t>
      </w:r>
      <w:r w:rsidRPr="00393369">
        <w:t>e s</w:t>
      </w:r>
      <w:r>
        <w:t>ystème de production de chaleur</w:t>
      </w:r>
    </w:p>
    <w:p w:rsidR="00393369" w:rsidRDefault="005A41CB" w:rsidP="00981773">
      <w:r>
        <w:t>sont soumis à l'élaboration d'un CEB.</w:t>
      </w:r>
    </w:p>
    <w:p w:rsidR="005A41CB" w:rsidRDefault="005A41CB" w:rsidP="00981773">
      <w:pPr>
        <w:rPr>
          <w:lang w:val="fr-FR"/>
        </w:rPr>
      </w:pPr>
      <w:r>
        <w:t xml:space="preserve">A ce titre ils doivent présenter au minimum une variante conforme </w:t>
      </w:r>
      <w:r w:rsidRPr="00393369">
        <w:t>à un standard de haute performance énergétique au sens de l'article 12B</w:t>
      </w:r>
      <w:r>
        <w:t xml:space="preserve"> (</w:t>
      </w:r>
      <w:r w:rsidRPr="005A41CB">
        <w:rPr>
          <w:b/>
        </w:rPr>
        <w:t>HPE rénovation</w:t>
      </w:r>
      <w:r>
        <w:t xml:space="preserve">) et une variante conforme </w:t>
      </w:r>
      <w:r>
        <w:rPr>
          <w:lang w:val="fr-FR"/>
        </w:rPr>
        <w:t>à un standard de très haute performance énergétique au sens de l'article 12C (</w:t>
      </w:r>
      <w:r w:rsidRPr="005A41CB">
        <w:rPr>
          <w:b/>
          <w:lang w:val="fr-FR"/>
        </w:rPr>
        <w:t>THPE rénovation</w:t>
      </w:r>
      <w:r>
        <w:rPr>
          <w:lang w:val="fr-FR"/>
        </w:rPr>
        <w:t>). Un positionnement clair sur le choix de la variante retenue doit être faite.</w:t>
      </w:r>
    </w:p>
    <w:p w:rsidR="005A41CB" w:rsidRDefault="005A41CB" w:rsidP="00981773">
      <w:pPr>
        <w:rPr>
          <w:lang w:val="fr-FR"/>
        </w:rPr>
      </w:pPr>
      <w:r>
        <w:rPr>
          <w:lang w:val="fr-FR"/>
        </w:rPr>
        <w:t>De pl</w:t>
      </w:r>
      <w:r w:rsidR="00A92F66">
        <w:rPr>
          <w:lang w:val="fr-FR"/>
        </w:rPr>
        <w:t>us, le CEB comprendra également </w:t>
      </w:r>
      <w:r>
        <w:rPr>
          <w:lang w:val="fr-FR"/>
        </w:rPr>
        <w:t xml:space="preserve">: </w:t>
      </w:r>
    </w:p>
    <w:p w:rsidR="005A41CB" w:rsidRDefault="005A41CB" w:rsidP="00BB636F">
      <w:pPr>
        <w:pStyle w:val="Paragraphedeliste"/>
        <w:numPr>
          <w:ilvl w:val="0"/>
          <w:numId w:val="5"/>
        </w:numPr>
      </w:pPr>
      <w:r>
        <w:rPr>
          <w:lang w:val="fr-FR"/>
        </w:rPr>
        <w:t xml:space="preserve">un plan d'assainissement </w:t>
      </w:r>
      <w:r>
        <w:t>des instal</w:t>
      </w:r>
      <w:r w:rsidR="00A92F66">
        <w:t xml:space="preserve">lations </w:t>
      </w:r>
      <w:bookmarkStart w:id="9" w:name="_GoBack"/>
      <w:bookmarkEnd w:id="9"/>
      <w:r w:rsidR="00A92F66">
        <w:t>productrices de chaleur;</w:t>
      </w:r>
    </w:p>
    <w:p w:rsidR="005A41CB" w:rsidRDefault="005A41CB" w:rsidP="00513F73">
      <w:pPr>
        <w:pStyle w:val="Paragraphedeliste"/>
        <w:numPr>
          <w:ilvl w:val="0"/>
          <w:numId w:val="5"/>
        </w:numPr>
      </w:pPr>
      <w:r>
        <w:rPr>
          <w:lang w:val="fr-FR"/>
        </w:rPr>
        <w:t xml:space="preserve">un plan d'assainissement </w:t>
      </w:r>
      <w:r>
        <w:t>des installations assurant</w:t>
      </w:r>
      <w:r w:rsidR="00A92F66">
        <w:t xml:space="preserve"> le confort estival et hivernal;</w:t>
      </w:r>
    </w:p>
    <w:p w:rsidR="005A41CB" w:rsidRDefault="005A41CB" w:rsidP="00AA4EB7">
      <w:pPr>
        <w:pStyle w:val="Paragraphedeliste"/>
        <w:numPr>
          <w:ilvl w:val="0"/>
          <w:numId w:val="5"/>
        </w:numPr>
      </w:pPr>
      <w:r>
        <w:t>une stratégie d’exploitation maximale des énergies renouvelables disponible</w:t>
      </w:r>
      <w:r w:rsidR="00A92F66">
        <w:t>s dans le périmètre du bâtiment;</w:t>
      </w:r>
    </w:p>
    <w:p w:rsidR="005A41CB" w:rsidRDefault="005A41CB" w:rsidP="00AA4EB7">
      <w:pPr>
        <w:pStyle w:val="Paragraphedeliste"/>
        <w:numPr>
          <w:ilvl w:val="0"/>
          <w:numId w:val="5"/>
        </w:numPr>
      </w:pPr>
      <w:r>
        <w:t>un concept de régulation et de suivi ou une analyse fonctionnelle de régulation.</w:t>
      </w:r>
    </w:p>
    <w:p w:rsidR="005A41CB" w:rsidRPr="005A41CB" w:rsidRDefault="005A41CB" w:rsidP="005A41CB">
      <w:pPr>
        <w:pStyle w:val="Corpsdetexte"/>
        <w:rPr>
          <w:lang w:val="fr-FR"/>
        </w:rPr>
      </w:pPr>
      <w:r>
        <w:rPr>
          <w:lang w:val="fr-FR"/>
        </w:rPr>
        <w:t xml:space="preserve">Un bâtiment conforme à un standard THPE rénovation est exempté </w:t>
      </w:r>
      <w:r w:rsidR="00F03879">
        <w:rPr>
          <w:lang w:val="fr-FR"/>
        </w:rPr>
        <w:t xml:space="preserve">de l'obligation d'établissement </w:t>
      </w:r>
      <w:r w:rsidR="00F03879">
        <w:rPr>
          <w:lang w:val="fr-FR"/>
        </w:rPr>
        <w:lastRenderedPageBreak/>
        <w:t>d'un CEB</w:t>
      </w:r>
      <w:r>
        <w:rPr>
          <w:lang w:val="fr-FR"/>
        </w:rPr>
        <w:t>.</w:t>
      </w:r>
    </w:p>
    <w:p w:rsidR="005A41CB" w:rsidRPr="005A41CB" w:rsidRDefault="005A41CB" w:rsidP="005A41CB">
      <w:pPr>
        <w:rPr>
          <w:lang w:val="fr-FR"/>
        </w:rPr>
      </w:pPr>
    </w:p>
    <w:p w:rsidR="00B963A9" w:rsidRDefault="00981773" w:rsidP="005A41CB">
      <w:pPr>
        <w:pStyle w:val="Titre2"/>
      </w:pPr>
      <w:r>
        <w:t xml:space="preserve">Extension </w:t>
      </w:r>
      <w:r w:rsidRPr="005A41CB">
        <w:t>d'un</w:t>
      </w:r>
      <w:r>
        <w:t xml:space="preserve"> bâtiment</w:t>
      </w:r>
    </w:p>
    <w:p w:rsidR="005A41CB" w:rsidRDefault="005A41CB" w:rsidP="005A41CB">
      <w:r>
        <w:t>Les extensions de bâtiments d'importance, ou des collectivités publiques, qui ;</w:t>
      </w:r>
    </w:p>
    <w:p w:rsidR="005A41CB" w:rsidRDefault="005A41CB" w:rsidP="005A41CB">
      <w:pPr>
        <w:pStyle w:val="Paragraphedeliste"/>
        <w:numPr>
          <w:ilvl w:val="0"/>
          <w:numId w:val="6"/>
        </w:numPr>
      </w:pPr>
      <w:r>
        <w:t xml:space="preserve">représentent plus </w:t>
      </w:r>
      <w:r w:rsidRPr="005A41CB">
        <w:t>de 15% de la surface de référence énergétique du bâtiment</w:t>
      </w:r>
      <w:r>
        <w:t xml:space="preserve"> existant</w:t>
      </w:r>
    </w:p>
    <w:p w:rsidR="005A41CB" w:rsidRDefault="005A41CB" w:rsidP="005A41CB">
      <w:pPr>
        <w:pStyle w:val="Paragraphedeliste"/>
        <w:numPr>
          <w:ilvl w:val="0"/>
          <w:numId w:val="6"/>
        </w:numPr>
      </w:pPr>
      <w:r>
        <w:t xml:space="preserve">ou de plus de </w:t>
      </w:r>
      <w:r w:rsidRPr="005A41CB">
        <w:t xml:space="preserve">500 m2 </w:t>
      </w:r>
    </w:p>
    <w:p w:rsidR="005A41CB" w:rsidRDefault="005A41CB" w:rsidP="005A41CB">
      <w:pPr>
        <w:pStyle w:val="Paragraphedeliste"/>
        <w:numPr>
          <w:ilvl w:val="0"/>
          <w:numId w:val="6"/>
        </w:numPr>
      </w:pPr>
      <w:r>
        <w:t xml:space="preserve">ou exigent une modification du </w:t>
      </w:r>
      <w:r w:rsidRPr="005A41CB">
        <w:t>système de production de chaleur</w:t>
      </w:r>
    </w:p>
    <w:p w:rsidR="005A41CB" w:rsidRDefault="005A41CB" w:rsidP="005A41CB">
      <w:r>
        <w:t>sont soumis à l'élaboration d'un CEB.</w:t>
      </w:r>
    </w:p>
    <w:p w:rsidR="005A41CB" w:rsidRDefault="005A41CB" w:rsidP="005A41CB">
      <w:pPr>
        <w:pStyle w:val="Corpsdetexte"/>
        <w:rPr>
          <w:lang w:val="fr-FR"/>
        </w:rPr>
      </w:pPr>
      <w:r>
        <w:t xml:space="preserve">Le CEB comprendra une variante conforme </w:t>
      </w:r>
      <w:r w:rsidRPr="00393369">
        <w:t>à un standard de haute performance énergétique au sens de l'article 12B</w:t>
      </w:r>
      <w:r>
        <w:t xml:space="preserve"> (</w:t>
      </w:r>
      <w:r w:rsidRPr="005A41CB">
        <w:rPr>
          <w:b/>
        </w:rPr>
        <w:t>HPE</w:t>
      </w:r>
      <w:r>
        <w:t xml:space="preserve">) et une variante conforme </w:t>
      </w:r>
      <w:r>
        <w:rPr>
          <w:lang w:val="fr-FR"/>
        </w:rPr>
        <w:t>à un standard de très haute performance énergétique au sens de l'article 12C (</w:t>
      </w:r>
      <w:r w:rsidRPr="005A41CB">
        <w:rPr>
          <w:b/>
          <w:lang w:val="fr-FR"/>
        </w:rPr>
        <w:t>THPE 2000W</w:t>
      </w:r>
      <w:r>
        <w:rPr>
          <w:lang w:val="fr-FR"/>
        </w:rPr>
        <w:t>). Un positionnement clair sur le choix de la variante retenue doit être faite.</w:t>
      </w:r>
    </w:p>
    <w:p w:rsidR="005A41CB" w:rsidRPr="005A41CB" w:rsidRDefault="005A41CB" w:rsidP="005A41CB">
      <w:pPr>
        <w:pStyle w:val="Corpsdetexte"/>
        <w:rPr>
          <w:lang w:val="fr-FR"/>
        </w:rPr>
      </w:pPr>
      <w:r>
        <w:rPr>
          <w:lang w:val="fr-FR"/>
        </w:rPr>
        <w:t xml:space="preserve">Un bâtiment conforme à un standard THPE est exempté </w:t>
      </w:r>
      <w:r w:rsidR="00F03879">
        <w:rPr>
          <w:lang w:val="fr-FR"/>
        </w:rPr>
        <w:t>de l'obligation d'établissement d'un CEB</w:t>
      </w:r>
      <w:r>
        <w:rPr>
          <w:lang w:val="fr-FR"/>
        </w:rPr>
        <w:t>.</w:t>
      </w:r>
    </w:p>
    <w:p w:rsidR="00981773" w:rsidRPr="005A41CB" w:rsidRDefault="00981773" w:rsidP="005A41CB">
      <w:pPr>
        <w:rPr>
          <w:lang w:val="fr-FR"/>
        </w:rPr>
      </w:pPr>
    </w:p>
    <w:p w:rsidR="00981773" w:rsidRDefault="00981773" w:rsidP="00981773"/>
    <w:sectPr w:rsidR="00981773" w:rsidSect="00981773">
      <w:pgSz w:w="11900" w:h="16840"/>
      <w:pgMar w:top="1160" w:right="1127" w:bottom="840" w:left="1134" w:header="0" w:footer="6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901" w:rsidRDefault="00A61901" w:rsidP="00A61901">
      <w:r>
        <w:separator/>
      </w:r>
    </w:p>
  </w:endnote>
  <w:endnote w:type="continuationSeparator" w:id="0">
    <w:p w:rsidR="00A61901" w:rsidRDefault="00A61901" w:rsidP="00A61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901" w:rsidRPr="00981773" w:rsidRDefault="006C208E" w:rsidP="00981773">
    <w:pPr>
      <w:rPr>
        <w:sz w:val="16"/>
      </w:rPr>
    </w:pPr>
    <w:hyperlink r:id="rId1" w:history="1">
      <w:r w:rsidR="00981773" w:rsidRPr="00520943">
        <w:rPr>
          <w:rStyle w:val="Lienhypertexte"/>
          <w:sz w:val="16"/>
        </w:rPr>
        <w:t>www.ge.ch/energie</w:t>
      </w:r>
    </w:hyperlink>
    <w:r w:rsidR="00981773">
      <w:rPr>
        <w:sz w:val="16"/>
      </w:rPr>
      <w:tab/>
    </w:r>
    <w:r w:rsidR="00981773">
      <w:rPr>
        <w:sz w:val="16"/>
      </w:rPr>
      <w:tab/>
    </w:r>
    <w:r w:rsidR="00981773">
      <w:rPr>
        <w:sz w:val="16"/>
      </w:rPr>
      <w:tab/>
    </w:r>
    <w:r w:rsidR="00981773">
      <w:rPr>
        <w:sz w:val="16"/>
      </w:rPr>
      <w:tab/>
    </w:r>
    <w:r w:rsidR="00981773">
      <w:rPr>
        <w:sz w:val="16"/>
      </w:rPr>
      <w:tab/>
    </w:r>
    <w:r w:rsidR="00981773">
      <w:rPr>
        <w:sz w:val="16"/>
      </w:rPr>
      <w:tab/>
    </w:r>
    <w:r w:rsidR="00981773">
      <w:rPr>
        <w:sz w:val="16"/>
      </w:rPr>
      <w:tab/>
    </w:r>
    <w:r w:rsidR="00981773">
      <w:rPr>
        <w:sz w:val="16"/>
      </w:rPr>
      <w:tab/>
    </w:r>
    <w:r w:rsidR="00981773">
      <w:rPr>
        <w:sz w:val="16"/>
      </w:rPr>
      <w:tab/>
    </w:r>
    <w:r w:rsidR="00981773">
      <w:rPr>
        <w:sz w:val="16"/>
      </w:rPr>
      <w:tab/>
      <w:t xml:space="preserve">Page </w:t>
    </w:r>
    <w:r w:rsidR="00981773">
      <w:rPr>
        <w:sz w:val="16"/>
      </w:rPr>
      <w:fldChar w:fldCharType="begin"/>
    </w:r>
    <w:r w:rsidR="00981773">
      <w:rPr>
        <w:sz w:val="16"/>
      </w:rPr>
      <w:instrText xml:space="preserve"> PAGE  \* Arabic  \* MERGEFORMAT </w:instrText>
    </w:r>
    <w:r w:rsidR="00981773">
      <w:rPr>
        <w:sz w:val="16"/>
      </w:rPr>
      <w:fldChar w:fldCharType="separate"/>
    </w:r>
    <w:r>
      <w:rPr>
        <w:noProof/>
        <w:sz w:val="16"/>
      </w:rPr>
      <w:t>3</w:t>
    </w:r>
    <w:r w:rsidR="00981773">
      <w:rPr>
        <w:sz w:val="16"/>
      </w:rPr>
      <w:fldChar w:fldCharType="end"/>
    </w:r>
    <w:r w:rsidR="005A41CB">
      <w:rPr>
        <w:sz w:val="16"/>
      </w:rPr>
      <w:t xml:space="preserve"> / </w:t>
    </w:r>
    <w:r w:rsidR="005A41CB">
      <w:rPr>
        <w:sz w:val="16"/>
      </w:rPr>
      <w:fldChar w:fldCharType="begin"/>
    </w:r>
    <w:r w:rsidR="005A41CB">
      <w:rPr>
        <w:sz w:val="16"/>
      </w:rPr>
      <w:instrText xml:space="preserve"> NUMPAGES  \* Arabic  \* MERGEFORMAT </w:instrText>
    </w:r>
    <w:r w:rsidR="005A41CB">
      <w:rPr>
        <w:sz w:val="16"/>
      </w:rPr>
      <w:fldChar w:fldCharType="separate"/>
    </w:r>
    <w:r>
      <w:rPr>
        <w:noProof/>
        <w:sz w:val="16"/>
      </w:rPr>
      <w:t>3</w:t>
    </w:r>
    <w:r w:rsidR="005A41CB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901" w:rsidRDefault="00A61901" w:rsidP="00A61901">
      <w:r>
        <w:separator/>
      </w:r>
    </w:p>
  </w:footnote>
  <w:footnote w:type="continuationSeparator" w:id="0">
    <w:p w:rsidR="00A61901" w:rsidRDefault="00A61901" w:rsidP="00A619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771CE"/>
    <w:multiLevelType w:val="hybridMultilevel"/>
    <w:tmpl w:val="84BE0FE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453B2"/>
    <w:multiLevelType w:val="multilevel"/>
    <w:tmpl w:val="AD2C1484"/>
    <w:lvl w:ilvl="0">
      <w:start w:val="1"/>
      <w:numFmt w:val="decimal"/>
      <w:pStyle w:val="Titre2"/>
      <w:lvlText w:val="%1."/>
      <w:lvlJc w:val="left"/>
      <w:pPr>
        <w:ind w:left="1078" w:hanging="360"/>
      </w:pPr>
      <w:rPr>
        <w:rFonts w:ascii="Arial" w:eastAsia="Arial" w:hAnsi="Arial" w:cs="Arial" w:hint="default"/>
        <w:b/>
        <w:bCs/>
        <w:w w:val="99"/>
        <w:sz w:val="32"/>
        <w:szCs w:val="32"/>
      </w:rPr>
    </w:lvl>
    <w:lvl w:ilvl="1">
      <w:start w:val="1"/>
      <w:numFmt w:val="decimal"/>
      <w:lvlText w:val="%1.%2"/>
      <w:lvlJc w:val="left"/>
      <w:pPr>
        <w:ind w:left="1186" w:hanging="468"/>
      </w:pPr>
      <w:rPr>
        <w:rFonts w:ascii="Arial" w:eastAsia="Arial" w:hAnsi="Arial" w:cs="Arial" w:hint="default"/>
        <w:b/>
        <w:bCs/>
        <w:i/>
        <w:spacing w:val="-1"/>
        <w:w w:val="100"/>
        <w:sz w:val="28"/>
        <w:szCs w:val="28"/>
      </w:rPr>
    </w:lvl>
    <w:lvl w:ilvl="2">
      <w:numFmt w:val="bullet"/>
      <w:lvlText w:val=""/>
      <w:lvlJc w:val="left"/>
      <w:pPr>
        <w:ind w:left="1438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2617" w:hanging="360"/>
      </w:pPr>
      <w:rPr>
        <w:rFonts w:hint="default"/>
      </w:rPr>
    </w:lvl>
    <w:lvl w:ilvl="4">
      <w:numFmt w:val="bullet"/>
      <w:lvlText w:val="•"/>
      <w:lvlJc w:val="left"/>
      <w:pPr>
        <w:ind w:left="3795" w:hanging="360"/>
      </w:pPr>
      <w:rPr>
        <w:rFonts w:hint="default"/>
      </w:rPr>
    </w:lvl>
    <w:lvl w:ilvl="5">
      <w:numFmt w:val="bullet"/>
      <w:lvlText w:val="•"/>
      <w:lvlJc w:val="left"/>
      <w:pPr>
        <w:ind w:left="4972" w:hanging="360"/>
      </w:pPr>
      <w:rPr>
        <w:rFonts w:hint="default"/>
      </w:rPr>
    </w:lvl>
    <w:lvl w:ilvl="6">
      <w:numFmt w:val="bullet"/>
      <w:lvlText w:val="•"/>
      <w:lvlJc w:val="left"/>
      <w:pPr>
        <w:ind w:left="6150" w:hanging="360"/>
      </w:pPr>
      <w:rPr>
        <w:rFonts w:hint="default"/>
      </w:rPr>
    </w:lvl>
    <w:lvl w:ilvl="7">
      <w:numFmt w:val="bullet"/>
      <w:lvlText w:val="•"/>
      <w:lvlJc w:val="left"/>
      <w:pPr>
        <w:ind w:left="7327" w:hanging="360"/>
      </w:pPr>
      <w:rPr>
        <w:rFonts w:hint="default"/>
      </w:rPr>
    </w:lvl>
    <w:lvl w:ilvl="8">
      <w:numFmt w:val="bullet"/>
      <w:lvlText w:val="•"/>
      <w:lvlJc w:val="left"/>
      <w:pPr>
        <w:ind w:left="8505" w:hanging="360"/>
      </w:pPr>
      <w:rPr>
        <w:rFonts w:hint="default"/>
      </w:rPr>
    </w:lvl>
  </w:abstractNum>
  <w:abstractNum w:abstractNumId="2" w15:restartNumberingAfterBreak="0">
    <w:nsid w:val="421C6C52"/>
    <w:multiLevelType w:val="hybridMultilevel"/>
    <w:tmpl w:val="87E0294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7D0A84"/>
    <w:multiLevelType w:val="hybridMultilevel"/>
    <w:tmpl w:val="2A486A1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4E0B81"/>
    <w:multiLevelType w:val="hybridMultilevel"/>
    <w:tmpl w:val="2E04C67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9906EC"/>
    <w:multiLevelType w:val="hybridMultilevel"/>
    <w:tmpl w:val="7464C468"/>
    <w:lvl w:ilvl="0" w:tplc="4650F30A">
      <w:numFmt w:val="bullet"/>
      <w:lvlText w:val="-"/>
      <w:lvlJc w:val="left"/>
      <w:pPr>
        <w:ind w:left="1784" w:hanging="166"/>
      </w:pPr>
      <w:rPr>
        <w:rFonts w:ascii="Arial" w:eastAsia="Arial" w:hAnsi="Arial" w:cs="Arial" w:hint="default"/>
        <w:w w:val="100"/>
        <w:sz w:val="22"/>
        <w:szCs w:val="22"/>
      </w:rPr>
    </w:lvl>
    <w:lvl w:ilvl="1" w:tplc="904428F6">
      <w:numFmt w:val="bullet"/>
      <w:lvlText w:val="•"/>
      <w:lvlJc w:val="left"/>
      <w:pPr>
        <w:ind w:left="2688" w:hanging="166"/>
      </w:pPr>
      <w:rPr>
        <w:rFonts w:hint="default"/>
      </w:rPr>
    </w:lvl>
    <w:lvl w:ilvl="2" w:tplc="EFD0B8C0">
      <w:numFmt w:val="bullet"/>
      <w:lvlText w:val="•"/>
      <w:lvlJc w:val="left"/>
      <w:pPr>
        <w:ind w:left="3596" w:hanging="166"/>
      </w:pPr>
      <w:rPr>
        <w:rFonts w:hint="default"/>
      </w:rPr>
    </w:lvl>
    <w:lvl w:ilvl="3" w:tplc="540A9F82">
      <w:numFmt w:val="bullet"/>
      <w:lvlText w:val="•"/>
      <w:lvlJc w:val="left"/>
      <w:pPr>
        <w:ind w:left="4504" w:hanging="166"/>
      </w:pPr>
      <w:rPr>
        <w:rFonts w:hint="default"/>
      </w:rPr>
    </w:lvl>
    <w:lvl w:ilvl="4" w:tplc="A96E63F4">
      <w:numFmt w:val="bullet"/>
      <w:lvlText w:val="•"/>
      <w:lvlJc w:val="left"/>
      <w:pPr>
        <w:ind w:left="5412" w:hanging="166"/>
      </w:pPr>
      <w:rPr>
        <w:rFonts w:hint="default"/>
      </w:rPr>
    </w:lvl>
    <w:lvl w:ilvl="5" w:tplc="E764818A">
      <w:numFmt w:val="bullet"/>
      <w:lvlText w:val="•"/>
      <w:lvlJc w:val="left"/>
      <w:pPr>
        <w:ind w:left="6320" w:hanging="166"/>
      </w:pPr>
      <w:rPr>
        <w:rFonts w:hint="default"/>
      </w:rPr>
    </w:lvl>
    <w:lvl w:ilvl="6" w:tplc="141250C6">
      <w:numFmt w:val="bullet"/>
      <w:lvlText w:val="•"/>
      <w:lvlJc w:val="left"/>
      <w:pPr>
        <w:ind w:left="7228" w:hanging="166"/>
      </w:pPr>
      <w:rPr>
        <w:rFonts w:hint="default"/>
      </w:rPr>
    </w:lvl>
    <w:lvl w:ilvl="7" w:tplc="1DE2EBAE">
      <w:numFmt w:val="bullet"/>
      <w:lvlText w:val="•"/>
      <w:lvlJc w:val="left"/>
      <w:pPr>
        <w:ind w:left="8136" w:hanging="166"/>
      </w:pPr>
      <w:rPr>
        <w:rFonts w:hint="default"/>
      </w:rPr>
    </w:lvl>
    <w:lvl w:ilvl="8" w:tplc="FB9AC516">
      <w:numFmt w:val="bullet"/>
      <w:lvlText w:val="•"/>
      <w:lvlJc w:val="left"/>
      <w:pPr>
        <w:ind w:left="9044" w:hanging="166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B963A9"/>
    <w:rsid w:val="002B1D2B"/>
    <w:rsid w:val="00393369"/>
    <w:rsid w:val="00487A51"/>
    <w:rsid w:val="005A41CB"/>
    <w:rsid w:val="006C208E"/>
    <w:rsid w:val="00981773"/>
    <w:rsid w:val="00A61901"/>
    <w:rsid w:val="00A92F66"/>
    <w:rsid w:val="00B02BB6"/>
    <w:rsid w:val="00B963A9"/>
    <w:rsid w:val="00F0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2"/>
    </o:shapelayout>
  </w:shapeDefaults>
  <w:decimalSymbol w:val="."/>
  <w:listSeparator w:val=";"/>
  <w14:docId w14:val="3D274C3D"/>
  <w15:docId w15:val="{74F453BA-1E02-4B4F-8C52-D49DF56D1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61901"/>
    <w:pPr>
      <w:spacing w:after="120"/>
      <w:jc w:val="both"/>
    </w:pPr>
    <w:rPr>
      <w:rFonts w:ascii="Arial" w:eastAsia="Arial" w:hAnsi="Arial" w:cs="Arial"/>
      <w:lang w:val="fr-CH"/>
    </w:rPr>
  </w:style>
  <w:style w:type="paragraph" w:styleId="Titre1">
    <w:name w:val="heading 1"/>
    <w:basedOn w:val="Normal"/>
    <w:uiPriority w:val="1"/>
    <w:qFormat/>
    <w:pPr>
      <w:spacing w:line="528" w:lineRule="exact"/>
      <w:ind w:left="718"/>
      <w:outlineLvl w:val="0"/>
    </w:pPr>
    <w:rPr>
      <w:b/>
      <w:bCs/>
      <w:sz w:val="46"/>
      <w:szCs w:val="46"/>
    </w:rPr>
  </w:style>
  <w:style w:type="paragraph" w:styleId="Titre2">
    <w:name w:val="heading 2"/>
    <w:basedOn w:val="Normal"/>
    <w:uiPriority w:val="1"/>
    <w:qFormat/>
    <w:rsid w:val="005A41CB"/>
    <w:pPr>
      <w:numPr>
        <w:numId w:val="2"/>
      </w:numPr>
      <w:tabs>
        <w:tab w:val="left" w:pos="1079"/>
      </w:tabs>
      <w:spacing w:before="360" w:after="240"/>
      <w:ind w:left="1077" w:hanging="357"/>
      <w:outlineLvl w:val="1"/>
    </w:pPr>
    <w:rPr>
      <w:b/>
      <w:bCs/>
      <w:sz w:val="32"/>
      <w:szCs w:val="32"/>
    </w:rPr>
  </w:style>
  <w:style w:type="paragraph" w:styleId="Titre3">
    <w:name w:val="heading 3"/>
    <w:basedOn w:val="Normal"/>
    <w:uiPriority w:val="1"/>
    <w:qFormat/>
    <w:pPr>
      <w:ind w:left="1186" w:hanging="468"/>
      <w:outlineLvl w:val="2"/>
    </w:pPr>
    <w:rPr>
      <w:b/>
      <w:bCs/>
      <w:i/>
      <w:sz w:val="28"/>
      <w:szCs w:val="28"/>
    </w:rPr>
  </w:style>
  <w:style w:type="paragraph" w:styleId="Titre4">
    <w:name w:val="heading 4"/>
    <w:basedOn w:val="Normal"/>
    <w:uiPriority w:val="1"/>
    <w:qFormat/>
    <w:pPr>
      <w:ind w:left="718"/>
      <w:outlineLvl w:val="3"/>
    </w:pPr>
    <w:rPr>
      <w:b/>
      <w:bCs/>
      <w:i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  <w:pPr>
      <w:spacing w:before="119"/>
      <w:ind w:left="143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2B1D2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B1D2B"/>
    <w:rPr>
      <w:rFonts w:ascii="Arial" w:eastAsia="Arial" w:hAnsi="Arial" w:cs="Arial"/>
      <w:lang w:val="fr-CH"/>
    </w:rPr>
  </w:style>
  <w:style w:type="paragraph" w:styleId="Pieddepage">
    <w:name w:val="footer"/>
    <w:basedOn w:val="Normal"/>
    <w:link w:val="PieddepageCar"/>
    <w:uiPriority w:val="99"/>
    <w:unhideWhenUsed/>
    <w:rsid w:val="002B1D2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B1D2B"/>
    <w:rPr>
      <w:rFonts w:ascii="Arial" w:eastAsia="Arial" w:hAnsi="Arial" w:cs="Arial"/>
      <w:lang w:val="fr-CH"/>
    </w:rPr>
  </w:style>
  <w:style w:type="character" w:styleId="Lienhypertexte">
    <w:name w:val="Hyperlink"/>
    <w:basedOn w:val="Policepardfaut"/>
    <w:uiPriority w:val="99"/>
    <w:unhideWhenUsed/>
    <w:rsid w:val="00981773"/>
    <w:rPr>
      <w:color w:val="0000FF" w:themeColor="hyperlink"/>
      <w:u w:val="single"/>
    </w:rPr>
  </w:style>
  <w:style w:type="paragraph" w:customStyle="1" w:styleId="sigle">
    <w:name w:val="sigle"/>
    <w:link w:val="sigleCar"/>
    <w:rsid w:val="00981773"/>
    <w:pPr>
      <w:widowControl/>
      <w:overflowPunct w:val="0"/>
      <w:adjustRightInd w:val="0"/>
      <w:spacing w:before="180"/>
      <w:textAlignment w:val="baseline"/>
    </w:pPr>
    <w:rPr>
      <w:rFonts w:ascii="Arial" w:eastAsia="Times New Roman" w:hAnsi="Arial" w:cs="Times New Roman"/>
      <w:caps/>
      <w:sz w:val="18"/>
      <w:szCs w:val="18"/>
      <w:lang w:val="fr-FR" w:eastAsia="fr-FR"/>
    </w:rPr>
  </w:style>
  <w:style w:type="paragraph" w:customStyle="1" w:styleId="sigle1">
    <w:name w:val="sigle1"/>
    <w:link w:val="sigle1Car"/>
    <w:rsid w:val="00981773"/>
    <w:pPr>
      <w:widowControl/>
      <w:overflowPunct w:val="0"/>
      <w:adjustRightInd w:val="0"/>
      <w:textAlignment w:val="baseline"/>
    </w:pPr>
    <w:rPr>
      <w:rFonts w:ascii="Arial" w:eastAsia="Times New Roman" w:hAnsi="Arial" w:cs="Times New Roman"/>
      <w:sz w:val="18"/>
      <w:szCs w:val="20"/>
      <w:lang w:val="fr-FR" w:eastAsia="fr-FR"/>
    </w:rPr>
  </w:style>
  <w:style w:type="paragraph" w:customStyle="1" w:styleId="Logo">
    <w:name w:val="Logo"/>
    <w:rsid w:val="00981773"/>
    <w:pPr>
      <w:widowControl/>
      <w:overflowPunct w:val="0"/>
      <w:adjustRightInd w:val="0"/>
      <w:jc w:val="right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Office">
    <w:name w:val="Office"/>
    <w:link w:val="OfficeCar"/>
    <w:rsid w:val="00981773"/>
    <w:pPr>
      <w:widowControl/>
      <w:overflowPunct w:val="0"/>
      <w:adjustRightInd w:val="0"/>
      <w:textAlignment w:val="baseline"/>
    </w:pPr>
    <w:rPr>
      <w:rFonts w:ascii="Arial" w:eastAsia="Times New Roman" w:hAnsi="Arial" w:cs="Times New Roman"/>
      <w:b/>
      <w:szCs w:val="20"/>
      <w:lang w:val="fr-FR" w:eastAsia="fr-FR"/>
    </w:rPr>
  </w:style>
  <w:style w:type="character" w:customStyle="1" w:styleId="sigle1Car">
    <w:name w:val="sigle1 Car"/>
    <w:link w:val="sigle1"/>
    <w:rsid w:val="00981773"/>
    <w:rPr>
      <w:rFonts w:ascii="Arial" w:eastAsia="Times New Roman" w:hAnsi="Arial" w:cs="Times New Roman"/>
      <w:sz w:val="18"/>
      <w:szCs w:val="20"/>
      <w:lang w:val="fr-FR" w:eastAsia="fr-FR"/>
    </w:rPr>
  </w:style>
  <w:style w:type="character" w:customStyle="1" w:styleId="OfficeCar">
    <w:name w:val="Office Car"/>
    <w:link w:val="Office"/>
    <w:rsid w:val="00981773"/>
    <w:rPr>
      <w:rFonts w:ascii="Arial" w:eastAsia="Times New Roman" w:hAnsi="Arial" w:cs="Times New Roman"/>
      <w:b/>
      <w:szCs w:val="20"/>
      <w:lang w:val="fr-FR" w:eastAsia="fr-FR"/>
    </w:rPr>
  </w:style>
  <w:style w:type="character" w:customStyle="1" w:styleId="sigleCar">
    <w:name w:val="sigle Car"/>
    <w:link w:val="sigle"/>
    <w:rsid w:val="00981773"/>
    <w:rPr>
      <w:rFonts w:ascii="Arial" w:eastAsia="Times New Roman" w:hAnsi="Arial" w:cs="Times New Roman"/>
      <w:caps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e.ch/energ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B22BF-88E1-4BA8-9A41-434A29E29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611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Aide au calcul de la SRE_02 06 2016</vt:lpstr>
    </vt:vector>
  </TitlesOfParts>
  <Company>Etat de Genève</Company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Aide au calcul de la SRE_02 06 2016</dc:title>
  <dc:creator>Freudiger</dc:creator>
  <cp:lastModifiedBy>Savary Marie (DT)</cp:lastModifiedBy>
  <cp:revision>6</cp:revision>
  <dcterms:created xsi:type="dcterms:W3CDTF">2022-07-22T07:51:00Z</dcterms:created>
  <dcterms:modified xsi:type="dcterms:W3CDTF">2022-07-30T13:48:00Z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2016-12-23T00:00:00Z</vt:filetime>
  </property>
  <property fmtid="{D5CDD505-2E9C-101B-9397-08002B2CF9AE}" pid="3" name="Creator">
    <vt:lpwstr>PDFCreator Version 1.2.1</vt:lpwstr>
  </property>
  <property fmtid="{D5CDD505-2E9C-101B-9397-08002B2CF9AE}" pid="4" name="LastSaved">
    <vt:filetime>2022-07-11T00:00:00Z</vt:filetime>
  </property>
  <property fmtid="{D5CDD505-2E9C-101B-9397-08002B2CF9AE}" pid="5" name="_AdHocReviewCycleID">
    <vt:i4>1710070945</vt:i4>
  </property>
  <property fmtid="{D5CDD505-2E9C-101B-9397-08002B2CF9AE}" pid="6" name="_NewReviewCycle">
    <vt:lpwstr/>
  </property>
  <property fmtid="{D5CDD505-2E9C-101B-9397-08002B2CF9AE}" pid="7" name="_EmailSubject">
    <vt:lpwstr>directive CEB</vt:lpwstr>
  </property>
  <property fmtid="{D5CDD505-2E9C-101B-9397-08002B2CF9AE}" pid="8" name="_AuthorEmail">
    <vt:lpwstr>marie.savary@etat.ge.ch</vt:lpwstr>
  </property>
  <property fmtid="{D5CDD505-2E9C-101B-9397-08002B2CF9AE}" pid="9" name="_AuthorEmailDisplayName">
    <vt:lpwstr>Savary Marie (DT)</vt:lpwstr>
  </property>
  <property fmtid="{D5CDD505-2E9C-101B-9397-08002B2CF9AE}" pid="11" name="_PreviousAdHocReviewCycleID">
    <vt:i4>-1138137541</vt:i4>
  </property>
</Properties>
</file>