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F887" w14:textId="55E312F8" w:rsidR="000B17EF" w:rsidRDefault="001133E0" w:rsidP="00993EE5">
      <w:pPr>
        <w:pStyle w:val="Titre1"/>
        <w:spacing w:after="120"/>
      </w:pPr>
      <w:bookmarkStart w:id="0" w:name="_Hlk214981846"/>
      <w:r>
        <w:t>État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lieux</w:t>
      </w:r>
      <w:r>
        <w:rPr>
          <w:spacing w:val="-4"/>
        </w:rPr>
        <w:t xml:space="preserve"> </w:t>
      </w:r>
      <w:r>
        <w:t>d</w:t>
      </w:r>
      <w:r w:rsidR="00A32EE3">
        <w:t>e l’usage de l’</w:t>
      </w:r>
      <w:r w:rsidR="007D16D8">
        <w:t>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rPr>
          <w:spacing w:val="-2"/>
        </w:rPr>
        <w:t>entreprise</w:t>
      </w:r>
    </w:p>
    <w:bookmarkEnd w:id="0"/>
    <w:p w14:paraId="22734E4D" w14:textId="1F0A3E07" w:rsidR="000B17EF" w:rsidRPr="0000021D" w:rsidRDefault="001133E0" w:rsidP="00993EE5">
      <w:pPr>
        <w:pStyle w:val="Corpsdetexte"/>
        <w:spacing w:before="315" w:line="276" w:lineRule="auto"/>
        <w:ind w:left="284" w:right="156"/>
        <w:rPr>
          <w:sz w:val="22"/>
          <w:szCs w:val="22"/>
        </w:rPr>
      </w:pPr>
      <w:r w:rsidRPr="0000021D">
        <w:rPr>
          <w:sz w:val="22"/>
          <w:szCs w:val="22"/>
        </w:rPr>
        <w:t xml:space="preserve">Pour établir l’état des lieux de </w:t>
      </w:r>
      <w:r w:rsidR="00A32EE3">
        <w:rPr>
          <w:sz w:val="22"/>
          <w:szCs w:val="22"/>
        </w:rPr>
        <w:t>l’usage</w:t>
      </w:r>
      <w:r w:rsidRPr="0000021D">
        <w:rPr>
          <w:sz w:val="22"/>
          <w:szCs w:val="22"/>
        </w:rPr>
        <w:t xml:space="preserve"> </w:t>
      </w:r>
      <w:r w:rsidR="00A32EE3" w:rsidRPr="0000021D">
        <w:rPr>
          <w:sz w:val="22"/>
          <w:szCs w:val="22"/>
        </w:rPr>
        <w:t>d</w:t>
      </w:r>
      <w:r w:rsidR="00A32EE3">
        <w:rPr>
          <w:sz w:val="22"/>
          <w:szCs w:val="22"/>
        </w:rPr>
        <w:t>e l</w:t>
      </w:r>
      <w:r w:rsidR="00A32EE3" w:rsidRPr="0000021D">
        <w:rPr>
          <w:sz w:val="22"/>
          <w:szCs w:val="22"/>
        </w:rPr>
        <w:t xml:space="preserve">’IA </w:t>
      </w:r>
      <w:r w:rsidRPr="0000021D">
        <w:rPr>
          <w:sz w:val="22"/>
          <w:szCs w:val="22"/>
        </w:rPr>
        <w:t>de votre entreprise, vous devez au préalable identifier les</w:t>
      </w:r>
      <w:r w:rsidRPr="0000021D">
        <w:rPr>
          <w:spacing w:val="-4"/>
          <w:sz w:val="22"/>
          <w:szCs w:val="22"/>
        </w:rPr>
        <w:t xml:space="preserve"> </w:t>
      </w:r>
      <w:r w:rsidRPr="0000021D">
        <w:rPr>
          <w:sz w:val="22"/>
          <w:szCs w:val="22"/>
        </w:rPr>
        <w:t>processus</w:t>
      </w:r>
      <w:r w:rsidRPr="0000021D">
        <w:rPr>
          <w:spacing w:val="-4"/>
          <w:sz w:val="22"/>
          <w:szCs w:val="22"/>
        </w:rPr>
        <w:t xml:space="preserve"> </w:t>
      </w:r>
      <w:r w:rsidRPr="0000021D">
        <w:rPr>
          <w:sz w:val="22"/>
          <w:szCs w:val="22"/>
        </w:rPr>
        <w:t>dans</w:t>
      </w:r>
      <w:r w:rsidRPr="0000021D">
        <w:rPr>
          <w:spacing w:val="-4"/>
          <w:sz w:val="22"/>
          <w:szCs w:val="22"/>
        </w:rPr>
        <w:t xml:space="preserve"> </w:t>
      </w:r>
      <w:r w:rsidRPr="0000021D">
        <w:rPr>
          <w:sz w:val="22"/>
          <w:szCs w:val="22"/>
        </w:rPr>
        <w:t>lesquels</w:t>
      </w:r>
      <w:r w:rsidRPr="0000021D">
        <w:rPr>
          <w:spacing w:val="-4"/>
          <w:sz w:val="22"/>
          <w:szCs w:val="22"/>
        </w:rPr>
        <w:t xml:space="preserve"> </w:t>
      </w:r>
      <w:r w:rsidRPr="0000021D">
        <w:rPr>
          <w:sz w:val="22"/>
          <w:szCs w:val="22"/>
        </w:rPr>
        <w:t>l</w:t>
      </w:r>
      <w:r w:rsidR="007D16D8" w:rsidRPr="0000021D">
        <w:rPr>
          <w:sz w:val="22"/>
          <w:szCs w:val="22"/>
        </w:rPr>
        <w:t xml:space="preserve">’IA </w:t>
      </w:r>
      <w:r w:rsidRPr="0000021D">
        <w:rPr>
          <w:sz w:val="22"/>
          <w:szCs w:val="22"/>
        </w:rPr>
        <w:t>intervient.</w:t>
      </w:r>
      <w:r w:rsidRPr="0000021D">
        <w:rPr>
          <w:spacing w:val="-4"/>
          <w:sz w:val="22"/>
          <w:szCs w:val="22"/>
        </w:rPr>
        <w:t xml:space="preserve"> </w:t>
      </w:r>
      <w:r w:rsidRPr="0000021D">
        <w:rPr>
          <w:sz w:val="22"/>
          <w:szCs w:val="22"/>
        </w:rPr>
        <w:t>Le</w:t>
      </w:r>
      <w:r w:rsidRPr="0000021D">
        <w:rPr>
          <w:spacing w:val="-4"/>
          <w:sz w:val="22"/>
          <w:szCs w:val="22"/>
        </w:rPr>
        <w:t xml:space="preserve"> </w:t>
      </w:r>
      <w:r w:rsidRPr="0000021D">
        <w:rPr>
          <w:sz w:val="22"/>
          <w:szCs w:val="22"/>
        </w:rPr>
        <w:t>tableau</w:t>
      </w:r>
      <w:r w:rsidRPr="0000021D">
        <w:rPr>
          <w:spacing w:val="-4"/>
          <w:sz w:val="22"/>
          <w:szCs w:val="22"/>
        </w:rPr>
        <w:t xml:space="preserve"> </w:t>
      </w:r>
      <w:r w:rsidRPr="0000021D">
        <w:rPr>
          <w:sz w:val="22"/>
          <w:szCs w:val="22"/>
        </w:rPr>
        <w:t>ci-dessous,</w:t>
      </w:r>
      <w:r w:rsidRPr="0000021D">
        <w:rPr>
          <w:spacing w:val="-4"/>
          <w:sz w:val="22"/>
          <w:szCs w:val="22"/>
        </w:rPr>
        <w:t xml:space="preserve"> </w:t>
      </w:r>
      <w:r w:rsidRPr="0000021D">
        <w:rPr>
          <w:sz w:val="22"/>
          <w:szCs w:val="22"/>
        </w:rPr>
        <w:t>prérempli</w:t>
      </w:r>
      <w:r w:rsidRPr="0000021D">
        <w:rPr>
          <w:spacing w:val="-4"/>
          <w:sz w:val="22"/>
          <w:szCs w:val="22"/>
        </w:rPr>
        <w:t xml:space="preserve"> </w:t>
      </w:r>
      <w:r w:rsidRPr="0000021D">
        <w:rPr>
          <w:sz w:val="22"/>
          <w:szCs w:val="22"/>
        </w:rPr>
        <w:t>avec</w:t>
      </w:r>
      <w:r w:rsidRPr="0000021D">
        <w:rPr>
          <w:spacing w:val="-4"/>
          <w:sz w:val="22"/>
          <w:szCs w:val="22"/>
        </w:rPr>
        <w:t xml:space="preserve"> </w:t>
      </w:r>
      <w:r w:rsidRPr="0000021D">
        <w:rPr>
          <w:sz w:val="22"/>
          <w:szCs w:val="22"/>
        </w:rPr>
        <w:t>quelques exemples illustratifs, vous aidera à établir une cartographie de l’utilisation d</w:t>
      </w:r>
      <w:r w:rsidR="002C4FF1" w:rsidRPr="0000021D">
        <w:rPr>
          <w:sz w:val="22"/>
          <w:szCs w:val="22"/>
        </w:rPr>
        <w:t xml:space="preserve">e l’IA </w:t>
      </w:r>
      <w:r w:rsidRPr="0000021D">
        <w:rPr>
          <w:sz w:val="22"/>
          <w:szCs w:val="22"/>
        </w:rPr>
        <w:t xml:space="preserve">dans différents secteurs </w:t>
      </w:r>
      <w:r w:rsidR="0000021D">
        <w:rPr>
          <w:sz w:val="22"/>
          <w:szCs w:val="22"/>
        </w:rPr>
        <w:t xml:space="preserve">potentiels </w:t>
      </w:r>
      <w:r w:rsidRPr="0000021D">
        <w:rPr>
          <w:sz w:val="22"/>
          <w:szCs w:val="22"/>
        </w:rPr>
        <w:t xml:space="preserve">de votre </w:t>
      </w:r>
      <w:r w:rsidR="0000021D">
        <w:rPr>
          <w:sz w:val="22"/>
          <w:szCs w:val="22"/>
        </w:rPr>
        <w:t>entreprise</w:t>
      </w:r>
      <w:r w:rsidRPr="0000021D">
        <w:rPr>
          <w:sz w:val="22"/>
          <w:szCs w:val="22"/>
        </w:rPr>
        <w:t>. Dans un deuxième temps, vous pourrez également déterminer dans lesquels de ces secteurs des données sont récoltées.</w:t>
      </w:r>
      <w:r w:rsidR="00CE5786" w:rsidRPr="00CE5786">
        <w:rPr>
          <w:rFonts w:ascii="Segoe UI" w:hAnsi="Segoe UI" w:cs="Segoe UI"/>
          <w:color w:val="24292F"/>
          <w:sz w:val="23"/>
          <w:szCs w:val="23"/>
          <w:shd w:val="clear" w:color="auto" w:fill="FFFFFF"/>
        </w:rPr>
        <w:t xml:space="preserve"> </w:t>
      </w:r>
    </w:p>
    <w:p w14:paraId="3C8FB22B" w14:textId="77777777" w:rsidR="000B17EF" w:rsidRDefault="000B17EF">
      <w:pPr>
        <w:pStyle w:val="Corpsdetexte"/>
      </w:pPr>
    </w:p>
    <w:p w14:paraId="6FB2FF6C" w14:textId="77777777" w:rsidR="000B17EF" w:rsidRDefault="000B17EF">
      <w:pPr>
        <w:pStyle w:val="Corpsdetexte"/>
        <w:spacing w:before="61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96"/>
        <w:gridCol w:w="2081"/>
        <w:gridCol w:w="2268"/>
        <w:gridCol w:w="2268"/>
        <w:gridCol w:w="2268"/>
      </w:tblGrid>
      <w:tr w:rsidR="00993EE5" w:rsidRPr="0000021D" w14:paraId="1696525D" w14:textId="77777777" w:rsidTr="00993EE5">
        <w:trPr>
          <w:trHeight w:val="405"/>
        </w:trPr>
        <w:tc>
          <w:tcPr>
            <w:tcW w:w="1996" w:type="dxa"/>
            <w:vMerge w:val="restart"/>
            <w:shd w:val="clear" w:color="auto" w:fill="54DFEE"/>
            <w:hideMark/>
          </w:tcPr>
          <w:p w14:paraId="62B12DED" w14:textId="77777777" w:rsidR="0000021D" w:rsidRPr="0000021D" w:rsidRDefault="0000021D" w:rsidP="0000021D">
            <w:pPr>
              <w:rPr>
                <w:b/>
                <w:bCs/>
                <w:lang w:val="fr-CH"/>
              </w:rPr>
            </w:pPr>
            <w:r w:rsidRPr="0000021D">
              <w:rPr>
                <w:b/>
                <w:bCs/>
              </w:rPr>
              <w:t>Domaine d'activité</w:t>
            </w:r>
          </w:p>
        </w:tc>
        <w:tc>
          <w:tcPr>
            <w:tcW w:w="2081" w:type="dxa"/>
            <w:vMerge w:val="restart"/>
            <w:shd w:val="clear" w:color="auto" w:fill="54DFEE"/>
            <w:hideMark/>
          </w:tcPr>
          <w:p w14:paraId="423BBE5B" w14:textId="77777777" w:rsidR="0000021D" w:rsidRPr="0000021D" w:rsidRDefault="0000021D" w:rsidP="00532614">
            <w:pPr>
              <w:rPr>
                <w:b/>
                <w:bCs/>
              </w:rPr>
            </w:pPr>
            <w:r w:rsidRPr="0000021D">
              <w:rPr>
                <w:b/>
                <w:bCs/>
              </w:rPr>
              <w:t>Outils numériques utilisés</w:t>
            </w:r>
          </w:p>
        </w:tc>
        <w:tc>
          <w:tcPr>
            <w:tcW w:w="2268" w:type="dxa"/>
            <w:vMerge w:val="restart"/>
            <w:shd w:val="clear" w:color="auto" w:fill="54DFEE"/>
            <w:hideMark/>
          </w:tcPr>
          <w:p w14:paraId="09027A0F" w14:textId="77777777" w:rsidR="0000021D" w:rsidRPr="0000021D" w:rsidRDefault="0000021D" w:rsidP="00CE5786">
            <w:pPr>
              <w:rPr>
                <w:b/>
                <w:bCs/>
              </w:rPr>
            </w:pPr>
            <w:r w:rsidRPr="0000021D">
              <w:rPr>
                <w:b/>
                <w:bCs/>
              </w:rPr>
              <w:t>Utilisation de l'IA</w:t>
            </w:r>
          </w:p>
        </w:tc>
        <w:tc>
          <w:tcPr>
            <w:tcW w:w="4536" w:type="dxa"/>
            <w:gridSpan w:val="2"/>
            <w:shd w:val="clear" w:color="auto" w:fill="54DFEE"/>
            <w:hideMark/>
          </w:tcPr>
          <w:p w14:paraId="3F11527D" w14:textId="0620A8F3" w:rsidR="0000021D" w:rsidRPr="0000021D" w:rsidRDefault="0000021D" w:rsidP="00532614">
            <w:pPr>
              <w:jc w:val="center"/>
              <w:rPr>
                <w:b/>
                <w:bCs/>
              </w:rPr>
            </w:pPr>
            <w:r w:rsidRPr="0000021D">
              <w:rPr>
                <w:b/>
                <w:bCs/>
              </w:rPr>
              <w:t xml:space="preserve">Données </w:t>
            </w:r>
            <w:r w:rsidR="00532614">
              <w:rPr>
                <w:b/>
                <w:bCs/>
              </w:rPr>
              <w:t xml:space="preserve">récoltées / </w:t>
            </w:r>
            <w:r w:rsidR="00532614" w:rsidRPr="0000021D">
              <w:rPr>
                <w:b/>
                <w:bCs/>
              </w:rPr>
              <w:t>partagées</w:t>
            </w:r>
          </w:p>
        </w:tc>
      </w:tr>
      <w:tr w:rsidR="00993EE5" w:rsidRPr="0000021D" w14:paraId="58353AEE" w14:textId="77777777" w:rsidTr="00993EE5">
        <w:trPr>
          <w:trHeight w:val="570"/>
        </w:trPr>
        <w:tc>
          <w:tcPr>
            <w:tcW w:w="1996" w:type="dxa"/>
            <w:vMerge/>
            <w:shd w:val="clear" w:color="auto" w:fill="54DFEE"/>
            <w:hideMark/>
          </w:tcPr>
          <w:p w14:paraId="1FE2822B" w14:textId="77777777" w:rsidR="0000021D" w:rsidRPr="0000021D" w:rsidRDefault="0000021D">
            <w:pPr>
              <w:rPr>
                <w:b/>
                <w:bCs/>
              </w:rPr>
            </w:pPr>
          </w:p>
        </w:tc>
        <w:tc>
          <w:tcPr>
            <w:tcW w:w="2081" w:type="dxa"/>
            <w:vMerge/>
            <w:shd w:val="clear" w:color="auto" w:fill="54DFEE"/>
            <w:hideMark/>
          </w:tcPr>
          <w:p w14:paraId="4FA870EE" w14:textId="77777777" w:rsidR="0000021D" w:rsidRPr="0000021D" w:rsidRDefault="0000021D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54DFEE"/>
            <w:hideMark/>
          </w:tcPr>
          <w:p w14:paraId="0C0134FA" w14:textId="77777777" w:rsidR="0000021D" w:rsidRPr="0000021D" w:rsidRDefault="0000021D">
            <w:pPr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54DFEE"/>
            <w:hideMark/>
          </w:tcPr>
          <w:p w14:paraId="255A1E7C" w14:textId="0990D4FA" w:rsidR="0000021D" w:rsidRPr="0000021D" w:rsidRDefault="00532614" w:rsidP="0000021D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00021D" w:rsidRPr="0000021D">
              <w:rPr>
                <w:b/>
                <w:bCs/>
              </w:rPr>
              <w:t>onnées personnelles</w:t>
            </w:r>
          </w:p>
        </w:tc>
        <w:tc>
          <w:tcPr>
            <w:tcW w:w="2268" w:type="dxa"/>
            <w:shd w:val="clear" w:color="auto" w:fill="54DFEE"/>
            <w:hideMark/>
          </w:tcPr>
          <w:p w14:paraId="0D502F5A" w14:textId="0B04FF17" w:rsidR="0000021D" w:rsidRPr="0000021D" w:rsidRDefault="00532614" w:rsidP="0000021D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00021D" w:rsidRPr="0000021D">
              <w:rPr>
                <w:b/>
                <w:bCs/>
              </w:rPr>
              <w:t>onnées sensibles</w:t>
            </w:r>
          </w:p>
        </w:tc>
      </w:tr>
      <w:tr w:rsidR="00993EE5" w:rsidRPr="0000021D" w14:paraId="25FE3EDA" w14:textId="77777777" w:rsidTr="00993EE5">
        <w:trPr>
          <w:trHeight w:val="1331"/>
        </w:trPr>
        <w:tc>
          <w:tcPr>
            <w:tcW w:w="1996" w:type="dxa"/>
            <w:hideMark/>
          </w:tcPr>
          <w:p w14:paraId="0D228EE3" w14:textId="77777777" w:rsidR="0000021D" w:rsidRPr="0000021D" w:rsidRDefault="0000021D" w:rsidP="0000021D">
            <w:pPr>
              <w:rPr>
                <w:b/>
                <w:bCs/>
              </w:rPr>
            </w:pPr>
            <w:r w:rsidRPr="0000021D">
              <w:rPr>
                <w:b/>
                <w:bCs/>
              </w:rPr>
              <w:t>Communication externe</w:t>
            </w:r>
          </w:p>
        </w:tc>
        <w:tc>
          <w:tcPr>
            <w:tcW w:w="2081" w:type="dxa"/>
            <w:hideMark/>
          </w:tcPr>
          <w:p w14:paraId="01D04674" w14:textId="77BCBC4D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Sites Web, réseaux sociaux, newsletters</w:t>
            </w:r>
            <w:r w:rsidR="00CE5786">
              <w:rPr>
                <w:i/>
                <w:iCs/>
                <w:sz w:val="20"/>
                <w:szCs w:val="20"/>
              </w:rPr>
              <w:t>,</w:t>
            </w:r>
            <w:r w:rsidRPr="0000021D">
              <w:rPr>
                <w:i/>
                <w:iCs/>
                <w:sz w:val="20"/>
                <w:szCs w:val="20"/>
              </w:rPr>
              <w:t xml:space="preserve"> par </w:t>
            </w:r>
            <w:proofErr w:type="gramStart"/>
            <w:r w:rsidRPr="0000021D">
              <w:rPr>
                <w:i/>
                <w:iCs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2268" w:type="dxa"/>
            <w:hideMark/>
          </w:tcPr>
          <w:p w14:paraId="2E2B7528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IA pour automatisation des publications, analyse des retours, segmentation du public cible</w:t>
            </w:r>
          </w:p>
        </w:tc>
        <w:tc>
          <w:tcPr>
            <w:tcW w:w="2268" w:type="dxa"/>
            <w:hideMark/>
          </w:tcPr>
          <w:p w14:paraId="543A4F08" w14:textId="676E6EE1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 xml:space="preserve">Noms, adresses </w:t>
            </w:r>
            <w:proofErr w:type="gramStart"/>
            <w:r w:rsidRPr="0000021D">
              <w:rPr>
                <w:i/>
                <w:iCs/>
                <w:sz w:val="20"/>
                <w:szCs w:val="20"/>
              </w:rPr>
              <w:t>email</w:t>
            </w:r>
            <w:proofErr w:type="gramEnd"/>
            <w:r w:rsidRPr="0000021D">
              <w:rPr>
                <w:i/>
                <w:iCs/>
                <w:sz w:val="20"/>
                <w:szCs w:val="20"/>
              </w:rPr>
              <w:t>, données de contact des prospects</w:t>
            </w:r>
            <w:r w:rsidR="00532614">
              <w:rPr>
                <w:i/>
                <w:iCs/>
                <w:sz w:val="20"/>
                <w:szCs w:val="20"/>
              </w:rPr>
              <w:t xml:space="preserve"> (respect de la </w:t>
            </w:r>
            <w:proofErr w:type="spellStart"/>
            <w:r w:rsidR="00532614">
              <w:rPr>
                <w:i/>
                <w:iCs/>
                <w:sz w:val="20"/>
                <w:szCs w:val="20"/>
              </w:rPr>
              <w:t>nLPD</w:t>
            </w:r>
            <w:proofErr w:type="spellEnd"/>
            <w:r w:rsidR="00532614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8" w:type="dxa"/>
            <w:hideMark/>
          </w:tcPr>
          <w:p w14:paraId="5BF6CC08" w14:textId="68E11714" w:rsidR="0000021D" w:rsidRPr="0000021D" w:rsidRDefault="00CE5786" w:rsidP="0000021D">
            <w:pPr>
              <w:rPr>
                <w:i/>
                <w:iCs/>
                <w:sz w:val="20"/>
                <w:szCs w:val="20"/>
              </w:rPr>
            </w:pPr>
            <w:r w:rsidRPr="00FC6436">
              <w:rPr>
                <w:i/>
                <w:iCs/>
                <w:sz w:val="20"/>
                <w:szCs w:val="20"/>
              </w:rPr>
              <w:t>Information</w:t>
            </w:r>
            <w:r w:rsidR="00A84142" w:rsidRPr="00FC6436">
              <w:rPr>
                <w:i/>
                <w:iCs/>
                <w:sz w:val="20"/>
                <w:szCs w:val="20"/>
              </w:rPr>
              <w:t>s</w:t>
            </w:r>
            <w:r w:rsidRPr="00FC6436">
              <w:rPr>
                <w:i/>
                <w:iCs/>
                <w:sz w:val="20"/>
                <w:szCs w:val="20"/>
              </w:rPr>
              <w:t xml:space="preserve"> </w:t>
            </w:r>
            <w:r w:rsidR="00A32EE3" w:rsidRPr="00FC6436">
              <w:rPr>
                <w:i/>
                <w:iCs/>
                <w:sz w:val="20"/>
                <w:szCs w:val="20"/>
              </w:rPr>
              <w:t xml:space="preserve">sensibles </w:t>
            </w:r>
            <w:r w:rsidR="002B443B" w:rsidRPr="00FC6436">
              <w:rPr>
                <w:i/>
                <w:iCs/>
                <w:sz w:val="20"/>
                <w:szCs w:val="20"/>
              </w:rPr>
              <w:t>selon</w:t>
            </w:r>
            <w:r w:rsidR="00BE0028" w:rsidRPr="00FC6436">
              <w:rPr>
                <w:i/>
                <w:iCs/>
                <w:sz w:val="20"/>
                <w:szCs w:val="20"/>
              </w:rPr>
              <w:t xml:space="preserve"> </w:t>
            </w:r>
            <w:r w:rsidR="002B443B" w:rsidRPr="00FC6436">
              <w:rPr>
                <w:i/>
                <w:iCs/>
                <w:sz w:val="20"/>
                <w:szCs w:val="20"/>
              </w:rPr>
              <w:t xml:space="preserve">les </w:t>
            </w:r>
            <w:r w:rsidR="00A84142" w:rsidRPr="00FC6436">
              <w:rPr>
                <w:i/>
                <w:iCs/>
                <w:sz w:val="20"/>
                <w:szCs w:val="20"/>
              </w:rPr>
              <w:t xml:space="preserve">différents </w:t>
            </w:r>
            <w:r w:rsidR="00BE0028" w:rsidRPr="00FC6436">
              <w:rPr>
                <w:i/>
                <w:iCs/>
                <w:sz w:val="20"/>
                <w:szCs w:val="20"/>
              </w:rPr>
              <w:t>public</w:t>
            </w:r>
            <w:r w:rsidR="00A84142" w:rsidRPr="00FC6436">
              <w:rPr>
                <w:i/>
                <w:iCs/>
                <w:sz w:val="20"/>
                <w:szCs w:val="20"/>
              </w:rPr>
              <w:t>s</w:t>
            </w:r>
            <w:r w:rsidR="00BE0028" w:rsidRPr="00FC6436">
              <w:rPr>
                <w:i/>
                <w:iCs/>
                <w:sz w:val="20"/>
                <w:szCs w:val="20"/>
              </w:rPr>
              <w:t xml:space="preserve"> cible</w:t>
            </w:r>
            <w:r w:rsidR="00A84142" w:rsidRPr="00FC6436">
              <w:rPr>
                <w:i/>
                <w:iCs/>
                <w:sz w:val="20"/>
                <w:szCs w:val="20"/>
              </w:rPr>
              <w:t>s</w:t>
            </w:r>
            <w:r w:rsidR="002B443B" w:rsidRPr="00FC6436">
              <w:rPr>
                <w:i/>
                <w:iCs/>
                <w:sz w:val="20"/>
                <w:szCs w:val="20"/>
              </w:rPr>
              <w:t xml:space="preserve">, réponses sensibles </w:t>
            </w:r>
            <w:r w:rsidR="002B443B">
              <w:rPr>
                <w:i/>
                <w:iCs/>
                <w:sz w:val="20"/>
                <w:szCs w:val="20"/>
              </w:rPr>
              <w:t>(p.ex. sondages)</w:t>
            </w:r>
            <w:r w:rsidR="00BE0028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93EE5" w:rsidRPr="0000021D" w14:paraId="1A59F8A2" w14:textId="77777777" w:rsidTr="00993EE5">
        <w:trPr>
          <w:trHeight w:val="1830"/>
        </w:trPr>
        <w:tc>
          <w:tcPr>
            <w:tcW w:w="1996" w:type="dxa"/>
            <w:hideMark/>
          </w:tcPr>
          <w:p w14:paraId="25BDF2E9" w14:textId="77777777" w:rsidR="0000021D" w:rsidRPr="0000021D" w:rsidRDefault="0000021D" w:rsidP="0000021D">
            <w:pPr>
              <w:rPr>
                <w:b/>
                <w:bCs/>
              </w:rPr>
            </w:pPr>
            <w:r w:rsidRPr="0000021D">
              <w:rPr>
                <w:b/>
                <w:bCs/>
              </w:rPr>
              <w:t>Marketing</w:t>
            </w:r>
          </w:p>
        </w:tc>
        <w:tc>
          <w:tcPr>
            <w:tcW w:w="2081" w:type="dxa"/>
            <w:hideMark/>
          </w:tcPr>
          <w:p w14:paraId="031C9397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Outils d'analyse des données de marché, plateformes de gestion de campagnes, systèmes de gestion de contenu</w:t>
            </w:r>
          </w:p>
        </w:tc>
        <w:tc>
          <w:tcPr>
            <w:tcW w:w="2268" w:type="dxa"/>
            <w:hideMark/>
          </w:tcPr>
          <w:p w14:paraId="7A56AB25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Analyse prédictive pour stratégies de marketing, segmentation automatique des clients, recommandations de contenu</w:t>
            </w:r>
          </w:p>
        </w:tc>
        <w:tc>
          <w:tcPr>
            <w:tcW w:w="2268" w:type="dxa"/>
            <w:hideMark/>
          </w:tcPr>
          <w:p w14:paraId="69F0997C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 xml:space="preserve">Noms, adresses </w:t>
            </w:r>
            <w:proofErr w:type="gramStart"/>
            <w:r w:rsidRPr="0000021D">
              <w:rPr>
                <w:i/>
                <w:iCs/>
                <w:sz w:val="20"/>
                <w:szCs w:val="20"/>
              </w:rPr>
              <w:t>email</w:t>
            </w:r>
            <w:proofErr w:type="gramEnd"/>
            <w:r w:rsidRPr="0000021D">
              <w:rPr>
                <w:i/>
                <w:iCs/>
                <w:sz w:val="20"/>
                <w:szCs w:val="20"/>
              </w:rPr>
              <w:t>, données démographiques, préférences de consommation</w:t>
            </w:r>
          </w:p>
        </w:tc>
        <w:tc>
          <w:tcPr>
            <w:tcW w:w="2268" w:type="dxa"/>
            <w:hideMark/>
          </w:tcPr>
          <w:p w14:paraId="4E3D224E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Informations financières personnelles, historiques d'achats, comportements d'achat</w:t>
            </w:r>
          </w:p>
        </w:tc>
      </w:tr>
      <w:tr w:rsidR="00993EE5" w:rsidRPr="0000021D" w14:paraId="7080CACE" w14:textId="77777777" w:rsidTr="00993EE5">
        <w:trPr>
          <w:trHeight w:val="1547"/>
        </w:trPr>
        <w:tc>
          <w:tcPr>
            <w:tcW w:w="1996" w:type="dxa"/>
            <w:hideMark/>
          </w:tcPr>
          <w:p w14:paraId="08A420B8" w14:textId="77777777" w:rsidR="0000021D" w:rsidRPr="0000021D" w:rsidRDefault="0000021D" w:rsidP="0000021D">
            <w:pPr>
              <w:rPr>
                <w:b/>
                <w:bCs/>
              </w:rPr>
            </w:pPr>
            <w:r w:rsidRPr="0000021D">
              <w:rPr>
                <w:b/>
                <w:bCs/>
              </w:rPr>
              <w:t>Ventes</w:t>
            </w:r>
          </w:p>
        </w:tc>
        <w:tc>
          <w:tcPr>
            <w:tcW w:w="2081" w:type="dxa"/>
            <w:hideMark/>
          </w:tcPr>
          <w:p w14:paraId="1B87D95C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Outils de gestion des contacts, systèmes de suivi des ventes, plateformes d'e-commerce</w:t>
            </w:r>
          </w:p>
        </w:tc>
        <w:tc>
          <w:tcPr>
            <w:tcW w:w="2268" w:type="dxa"/>
            <w:hideMark/>
          </w:tcPr>
          <w:p w14:paraId="45AA5FD6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IA pour recommandations de produits, analyse des comportements d'achat, automatisation des tâches de vente</w:t>
            </w:r>
          </w:p>
        </w:tc>
        <w:tc>
          <w:tcPr>
            <w:tcW w:w="2268" w:type="dxa"/>
            <w:hideMark/>
          </w:tcPr>
          <w:p w14:paraId="342B5E2C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Informations de contact, données de commande, historiques d'interaction</w:t>
            </w:r>
          </w:p>
        </w:tc>
        <w:tc>
          <w:tcPr>
            <w:tcW w:w="2268" w:type="dxa"/>
            <w:hideMark/>
          </w:tcPr>
          <w:p w14:paraId="7EC8981F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Informations de carte de crédit, données de livraison, historiques de transactions</w:t>
            </w:r>
          </w:p>
        </w:tc>
      </w:tr>
      <w:tr w:rsidR="00993EE5" w:rsidRPr="0000021D" w14:paraId="1F6DAF76" w14:textId="77777777" w:rsidTr="00993EE5">
        <w:trPr>
          <w:trHeight w:val="1412"/>
        </w:trPr>
        <w:tc>
          <w:tcPr>
            <w:tcW w:w="1996" w:type="dxa"/>
            <w:hideMark/>
          </w:tcPr>
          <w:p w14:paraId="17F13042" w14:textId="77777777" w:rsidR="0000021D" w:rsidRPr="0000021D" w:rsidRDefault="0000021D" w:rsidP="0000021D">
            <w:pPr>
              <w:rPr>
                <w:b/>
                <w:bCs/>
              </w:rPr>
            </w:pPr>
            <w:r w:rsidRPr="0000021D">
              <w:rPr>
                <w:b/>
                <w:bCs/>
              </w:rPr>
              <w:t>Service client</w:t>
            </w:r>
          </w:p>
        </w:tc>
        <w:tc>
          <w:tcPr>
            <w:tcW w:w="2081" w:type="dxa"/>
            <w:hideMark/>
          </w:tcPr>
          <w:p w14:paraId="1AD50B5A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Systèmes de gestion des tickets, plateformes de feedback, chat en direct</w:t>
            </w:r>
          </w:p>
        </w:tc>
        <w:tc>
          <w:tcPr>
            <w:tcW w:w="2268" w:type="dxa"/>
            <w:hideMark/>
          </w:tcPr>
          <w:p w14:paraId="7A213816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00021D">
              <w:rPr>
                <w:i/>
                <w:iCs/>
                <w:sz w:val="20"/>
                <w:szCs w:val="20"/>
              </w:rPr>
              <w:t>Chatbots</w:t>
            </w:r>
            <w:proofErr w:type="spellEnd"/>
            <w:r w:rsidRPr="0000021D">
              <w:rPr>
                <w:i/>
                <w:iCs/>
                <w:sz w:val="20"/>
                <w:szCs w:val="20"/>
              </w:rPr>
              <w:t xml:space="preserve"> pour support client, systèmes d'analyse des demandes fréquentes, outils de prévision des besoins des clients</w:t>
            </w:r>
          </w:p>
        </w:tc>
        <w:tc>
          <w:tcPr>
            <w:tcW w:w="2268" w:type="dxa"/>
            <w:hideMark/>
          </w:tcPr>
          <w:p w14:paraId="67718D44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 xml:space="preserve">Noms, adresses </w:t>
            </w:r>
            <w:proofErr w:type="gramStart"/>
            <w:r w:rsidRPr="0000021D">
              <w:rPr>
                <w:i/>
                <w:iCs/>
                <w:sz w:val="20"/>
                <w:szCs w:val="20"/>
              </w:rPr>
              <w:t>email</w:t>
            </w:r>
            <w:proofErr w:type="gramEnd"/>
            <w:r w:rsidRPr="0000021D">
              <w:rPr>
                <w:i/>
                <w:iCs/>
                <w:sz w:val="20"/>
                <w:szCs w:val="20"/>
              </w:rPr>
              <w:t>, historiques d'interaction, évaluations de satisfaction</w:t>
            </w:r>
          </w:p>
        </w:tc>
        <w:tc>
          <w:tcPr>
            <w:tcW w:w="2268" w:type="dxa"/>
            <w:hideMark/>
          </w:tcPr>
          <w:p w14:paraId="0A454B7D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Informations de paiement, données des comptes clients, historiques de réclamations</w:t>
            </w:r>
          </w:p>
        </w:tc>
      </w:tr>
      <w:tr w:rsidR="00993EE5" w:rsidRPr="0000021D" w14:paraId="2E7436BC" w14:textId="77777777" w:rsidTr="00993EE5">
        <w:trPr>
          <w:trHeight w:val="1830"/>
        </w:trPr>
        <w:tc>
          <w:tcPr>
            <w:tcW w:w="1996" w:type="dxa"/>
            <w:hideMark/>
          </w:tcPr>
          <w:p w14:paraId="4DF10C6C" w14:textId="77777777" w:rsidR="0000021D" w:rsidRPr="0000021D" w:rsidRDefault="0000021D" w:rsidP="0000021D">
            <w:pPr>
              <w:rPr>
                <w:b/>
                <w:bCs/>
              </w:rPr>
            </w:pPr>
            <w:r w:rsidRPr="0000021D">
              <w:rPr>
                <w:b/>
                <w:bCs/>
              </w:rPr>
              <w:t>Ressources humaines</w:t>
            </w:r>
          </w:p>
        </w:tc>
        <w:tc>
          <w:tcPr>
            <w:tcW w:w="2081" w:type="dxa"/>
            <w:hideMark/>
          </w:tcPr>
          <w:p w14:paraId="33765ACF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Outils de gestion des candidatures, systèmes d'évaluation des performances, plateformes d'apprentissage en ligne</w:t>
            </w:r>
          </w:p>
        </w:tc>
        <w:tc>
          <w:tcPr>
            <w:tcW w:w="2268" w:type="dxa"/>
            <w:hideMark/>
          </w:tcPr>
          <w:p w14:paraId="5E868D4A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IA pour tri des CV, analyse des entretiens, recommandations de formations</w:t>
            </w:r>
          </w:p>
        </w:tc>
        <w:tc>
          <w:tcPr>
            <w:tcW w:w="2268" w:type="dxa"/>
            <w:hideMark/>
          </w:tcPr>
          <w:p w14:paraId="6AE744C5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CV, évaluations de performance, informations de contact des candidats</w:t>
            </w:r>
          </w:p>
        </w:tc>
        <w:tc>
          <w:tcPr>
            <w:tcW w:w="2268" w:type="dxa"/>
            <w:hideMark/>
          </w:tcPr>
          <w:p w14:paraId="45462131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Données médicales, informations sur les antécédents professionnels</w:t>
            </w:r>
          </w:p>
        </w:tc>
      </w:tr>
      <w:tr w:rsidR="00993EE5" w:rsidRPr="0000021D" w14:paraId="7305E6F1" w14:textId="77777777" w:rsidTr="00993EE5">
        <w:trPr>
          <w:trHeight w:val="1550"/>
        </w:trPr>
        <w:tc>
          <w:tcPr>
            <w:tcW w:w="1996" w:type="dxa"/>
            <w:hideMark/>
          </w:tcPr>
          <w:p w14:paraId="3B648D49" w14:textId="77777777" w:rsidR="0000021D" w:rsidRPr="0000021D" w:rsidRDefault="0000021D" w:rsidP="0000021D">
            <w:pPr>
              <w:rPr>
                <w:b/>
                <w:bCs/>
              </w:rPr>
            </w:pPr>
            <w:r w:rsidRPr="0000021D">
              <w:rPr>
                <w:b/>
                <w:bCs/>
              </w:rPr>
              <w:t>Communication interne</w:t>
            </w:r>
          </w:p>
        </w:tc>
        <w:tc>
          <w:tcPr>
            <w:tcW w:w="2081" w:type="dxa"/>
            <w:hideMark/>
          </w:tcPr>
          <w:p w14:paraId="1B8CEBD5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Plateformes de messagerie, forums de discussion, outils de visioconférence</w:t>
            </w:r>
          </w:p>
        </w:tc>
        <w:tc>
          <w:tcPr>
            <w:tcW w:w="2268" w:type="dxa"/>
            <w:hideMark/>
          </w:tcPr>
          <w:p w14:paraId="08401AB5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00021D">
              <w:rPr>
                <w:i/>
                <w:iCs/>
                <w:sz w:val="20"/>
                <w:szCs w:val="20"/>
              </w:rPr>
              <w:t>Chatbots</w:t>
            </w:r>
            <w:proofErr w:type="spellEnd"/>
            <w:r w:rsidRPr="0000021D">
              <w:rPr>
                <w:i/>
                <w:iCs/>
                <w:sz w:val="20"/>
                <w:szCs w:val="20"/>
              </w:rPr>
              <w:t xml:space="preserve"> pour assistance, systèmes automatisés de réponse, outils d'analyse des sentiments</w:t>
            </w:r>
          </w:p>
        </w:tc>
        <w:tc>
          <w:tcPr>
            <w:tcW w:w="2268" w:type="dxa"/>
            <w:hideMark/>
          </w:tcPr>
          <w:p w14:paraId="1E4D3A71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 xml:space="preserve">Noms, adresses </w:t>
            </w:r>
            <w:proofErr w:type="gramStart"/>
            <w:r w:rsidRPr="0000021D">
              <w:rPr>
                <w:i/>
                <w:iCs/>
                <w:sz w:val="20"/>
                <w:szCs w:val="20"/>
              </w:rPr>
              <w:t>email</w:t>
            </w:r>
            <w:proofErr w:type="gramEnd"/>
            <w:r w:rsidRPr="0000021D">
              <w:rPr>
                <w:i/>
                <w:iCs/>
                <w:sz w:val="20"/>
                <w:szCs w:val="20"/>
              </w:rPr>
              <w:t>, historique des discussions</w:t>
            </w:r>
          </w:p>
        </w:tc>
        <w:tc>
          <w:tcPr>
            <w:tcW w:w="2268" w:type="dxa"/>
            <w:hideMark/>
          </w:tcPr>
          <w:p w14:paraId="13C7CCBB" w14:textId="7638D2DD" w:rsidR="0000021D" w:rsidRPr="00FC6436" w:rsidRDefault="009111C8" w:rsidP="0000021D">
            <w:pPr>
              <w:rPr>
                <w:i/>
                <w:iCs/>
                <w:sz w:val="20"/>
                <w:szCs w:val="20"/>
              </w:rPr>
            </w:pPr>
            <w:r w:rsidRPr="00FC6436">
              <w:rPr>
                <w:i/>
                <w:iCs/>
                <w:sz w:val="20"/>
                <w:szCs w:val="20"/>
              </w:rPr>
              <w:t>Secrets d’affaires</w:t>
            </w:r>
            <w:r w:rsidR="0000021D" w:rsidRPr="00FC6436">
              <w:rPr>
                <w:i/>
                <w:iCs/>
                <w:sz w:val="20"/>
                <w:szCs w:val="20"/>
              </w:rPr>
              <w:t xml:space="preserve">, </w:t>
            </w:r>
            <w:r w:rsidRPr="00FC6436">
              <w:rPr>
                <w:i/>
                <w:iCs/>
                <w:sz w:val="20"/>
                <w:szCs w:val="20"/>
              </w:rPr>
              <w:t xml:space="preserve">conversations </w:t>
            </w:r>
            <w:r w:rsidR="00CE5786" w:rsidRPr="00FC6436">
              <w:rPr>
                <w:i/>
                <w:iCs/>
                <w:sz w:val="20"/>
                <w:szCs w:val="20"/>
              </w:rPr>
              <w:t xml:space="preserve">confidentielles </w:t>
            </w:r>
            <w:r w:rsidRPr="00FC6436">
              <w:rPr>
                <w:i/>
                <w:iCs/>
                <w:sz w:val="20"/>
                <w:szCs w:val="20"/>
              </w:rPr>
              <w:t>internes</w:t>
            </w:r>
          </w:p>
        </w:tc>
      </w:tr>
      <w:tr w:rsidR="00993EE5" w:rsidRPr="0000021D" w14:paraId="3151B384" w14:textId="77777777" w:rsidTr="00993EE5">
        <w:trPr>
          <w:trHeight w:val="1561"/>
        </w:trPr>
        <w:tc>
          <w:tcPr>
            <w:tcW w:w="1996" w:type="dxa"/>
            <w:hideMark/>
          </w:tcPr>
          <w:p w14:paraId="4479908E" w14:textId="77777777" w:rsidR="0000021D" w:rsidRPr="0000021D" w:rsidRDefault="0000021D" w:rsidP="0000021D">
            <w:pPr>
              <w:rPr>
                <w:b/>
                <w:bCs/>
              </w:rPr>
            </w:pPr>
            <w:r w:rsidRPr="0000021D">
              <w:rPr>
                <w:b/>
                <w:bCs/>
              </w:rPr>
              <w:lastRenderedPageBreak/>
              <w:t>Production</w:t>
            </w:r>
          </w:p>
        </w:tc>
        <w:tc>
          <w:tcPr>
            <w:tcW w:w="2081" w:type="dxa"/>
            <w:hideMark/>
          </w:tcPr>
          <w:p w14:paraId="06AB6BBC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Outils de planification de production, tableaux de bord de suivi, systèmes de contrôle de qualité</w:t>
            </w:r>
          </w:p>
        </w:tc>
        <w:tc>
          <w:tcPr>
            <w:tcW w:w="2268" w:type="dxa"/>
            <w:hideMark/>
          </w:tcPr>
          <w:p w14:paraId="7950BE18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Robots pour automatisation des processus, outils de prévision de la demande, systèmes d'optimisation</w:t>
            </w:r>
          </w:p>
        </w:tc>
        <w:tc>
          <w:tcPr>
            <w:tcW w:w="2268" w:type="dxa"/>
            <w:hideMark/>
          </w:tcPr>
          <w:p w14:paraId="2999A4C4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Informations sur les employés de production, heures de travail, données de rendement</w:t>
            </w:r>
          </w:p>
        </w:tc>
        <w:tc>
          <w:tcPr>
            <w:tcW w:w="2268" w:type="dxa"/>
            <w:hideMark/>
          </w:tcPr>
          <w:p w14:paraId="0652CB66" w14:textId="5ABCB129" w:rsidR="0000021D" w:rsidRPr="00FC6436" w:rsidRDefault="009111C8" w:rsidP="0000021D">
            <w:pPr>
              <w:rPr>
                <w:i/>
                <w:iCs/>
                <w:sz w:val="20"/>
                <w:szCs w:val="20"/>
              </w:rPr>
            </w:pPr>
            <w:r w:rsidRPr="00FC6436">
              <w:rPr>
                <w:i/>
                <w:iCs/>
                <w:sz w:val="20"/>
                <w:szCs w:val="20"/>
              </w:rPr>
              <w:t>Secret de fabrication</w:t>
            </w:r>
            <w:r w:rsidR="00BE0028" w:rsidRPr="00FC6436">
              <w:rPr>
                <w:i/>
                <w:iCs/>
                <w:sz w:val="20"/>
                <w:szCs w:val="20"/>
              </w:rPr>
              <w:t xml:space="preserve"> / </w:t>
            </w:r>
            <w:r w:rsidR="00526950" w:rsidRPr="00FC6436">
              <w:rPr>
                <w:i/>
                <w:iCs/>
                <w:sz w:val="20"/>
                <w:szCs w:val="20"/>
              </w:rPr>
              <w:t xml:space="preserve">modes de </w:t>
            </w:r>
            <w:r w:rsidR="00BE0028" w:rsidRPr="00FC6436">
              <w:rPr>
                <w:i/>
                <w:iCs/>
                <w:sz w:val="20"/>
                <w:szCs w:val="20"/>
              </w:rPr>
              <w:t>production utilisé</w:t>
            </w:r>
            <w:r w:rsidR="002B443B" w:rsidRPr="00FC6436">
              <w:rPr>
                <w:i/>
                <w:iCs/>
                <w:sz w:val="20"/>
                <w:szCs w:val="20"/>
              </w:rPr>
              <w:t>s</w:t>
            </w:r>
            <w:r w:rsidRPr="00FC6436">
              <w:rPr>
                <w:i/>
                <w:iCs/>
                <w:sz w:val="20"/>
                <w:szCs w:val="20"/>
              </w:rPr>
              <w:t xml:space="preserve"> </w:t>
            </w:r>
            <w:r w:rsidR="00BE0028" w:rsidRPr="00FC6436">
              <w:rPr>
                <w:i/>
                <w:iCs/>
                <w:sz w:val="20"/>
                <w:szCs w:val="20"/>
              </w:rPr>
              <w:t xml:space="preserve">(processus, formules, brevets) </w:t>
            </w:r>
          </w:p>
        </w:tc>
      </w:tr>
      <w:tr w:rsidR="00993EE5" w:rsidRPr="0000021D" w14:paraId="41288813" w14:textId="77777777" w:rsidTr="00993EE5">
        <w:trPr>
          <w:trHeight w:val="1399"/>
        </w:trPr>
        <w:tc>
          <w:tcPr>
            <w:tcW w:w="1996" w:type="dxa"/>
            <w:hideMark/>
          </w:tcPr>
          <w:p w14:paraId="26608FEB" w14:textId="77777777" w:rsidR="0000021D" w:rsidRPr="0000021D" w:rsidRDefault="0000021D" w:rsidP="0000021D">
            <w:pPr>
              <w:rPr>
                <w:b/>
                <w:bCs/>
              </w:rPr>
            </w:pPr>
            <w:r w:rsidRPr="0000021D">
              <w:rPr>
                <w:b/>
                <w:bCs/>
              </w:rPr>
              <w:t>Logistique</w:t>
            </w:r>
          </w:p>
        </w:tc>
        <w:tc>
          <w:tcPr>
            <w:tcW w:w="2081" w:type="dxa"/>
            <w:hideMark/>
          </w:tcPr>
          <w:p w14:paraId="617DF05A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Outils de gestion des inventaires, tableaux de bord de livraison, systèmes de suivi des expéditions</w:t>
            </w:r>
          </w:p>
        </w:tc>
        <w:tc>
          <w:tcPr>
            <w:tcW w:w="2268" w:type="dxa"/>
            <w:hideMark/>
          </w:tcPr>
          <w:p w14:paraId="377A9F90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IA pour optimisation des itinéraires, prévision des niveaux de stock, automatisation du tri des colis</w:t>
            </w:r>
          </w:p>
        </w:tc>
        <w:tc>
          <w:tcPr>
            <w:tcW w:w="2268" w:type="dxa"/>
            <w:hideMark/>
          </w:tcPr>
          <w:p w14:paraId="76481C3E" w14:textId="77777777" w:rsidR="0000021D" w:rsidRPr="00FC6436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FC6436">
              <w:rPr>
                <w:i/>
                <w:iCs/>
                <w:sz w:val="20"/>
                <w:szCs w:val="20"/>
              </w:rPr>
              <w:t>Informations des clients, historiques de livraison, données de vente</w:t>
            </w:r>
          </w:p>
        </w:tc>
        <w:tc>
          <w:tcPr>
            <w:tcW w:w="2268" w:type="dxa"/>
            <w:hideMark/>
          </w:tcPr>
          <w:p w14:paraId="47707AEC" w14:textId="52AE5368" w:rsidR="0000021D" w:rsidRPr="00FC6436" w:rsidRDefault="009111C8" w:rsidP="0000021D">
            <w:pPr>
              <w:rPr>
                <w:i/>
                <w:iCs/>
                <w:sz w:val="20"/>
                <w:szCs w:val="20"/>
              </w:rPr>
            </w:pPr>
            <w:r w:rsidRPr="00FC6436">
              <w:rPr>
                <w:i/>
                <w:iCs/>
                <w:sz w:val="20"/>
                <w:szCs w:val="20"/>
              </w:rPr>
              <w:t xml:space="preserve">Données contractuelles, </w:t>
            </w:r>
            <w:r w:rsidR="0000021D" w:rsidRPr="00FC6436">
              <w:rPr>
                <w:i/>
                <w:iCs/>
                <w:sz w:val="20"/>
                <w:szCs w:val="20"/>
              </w:rPr>
              <w:t>Informations économiques sur les coûts de transport, détails sur les retours</w:t>
            </w:r>
          </w:p>
        </w:tc>
      </w:tr>
      <w:tr w:rsidR="00993EE5" w:rsidRPr="0000021D" w14:paraId="784FE482" w14:textId="77777777" w:rsidTr="00993EE5">
        <w:trPr>
          <w:trHeight w:val="1263"/>
        </w:trPr>
        <w:tc>
          <w:tcPr>
            <w:tcW w:w="1996" w:type="dxa"/>
            <w:hideMark/>
          </w:tcPr>
          <w:p w14:paraId="4AF920A9" w14:textId="77777777" w:rsidR="0000021D" w:rsidRPr="0000021D" w:rsidRDefault="0000021D" w:rsidP="0000021D">
            <w:pPr>
              <w:rPr>
                <w:b/>
                <w:bCs/>
              </w:rPr>
            </w:pPr>
            <w:r w:rsidRPr="0000021D">
              <w:rPr>
                <w:b/>
                <w:bCs/>
              </w:rPr>
              <w:t>Finance</w:t>
            </w:r>
          </w:p>
        </w:tc>
        <w:tc>
          <w:tcPr>
            <w:tcW w:w="2081" w:type="dxa"/>
            <w:hideMark/>
          </w:tcPr>
          <w:p w14:paraId="5266D27A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Outils de suivi des dépenses, systèmes de gestion de la trésorerie, plateformes de rapports financiers</w:t>
            </w:r>
          </w:p>
        </w:tc>
        <w:tc>
          <w:tcPr>
            <w:tcW w:w="2268" w:type="dxa"/>
            <w:hideMark/>
          </w:tcPr>
          <w:p w14:paraId="4DA57F6A" w14:textId="77777777" w:rsidR="0000021D" w:rsidRPr="00FC6436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FC6436">
              <w:rPr>
                <w:i/>
                <w:iCs/>
                <w:sz w:val="20"/>
                <w:szCs w:val="20"/>
              </w:rPr>
              <w:t>IA pour détection de fraudes, prévisions financières, optimisation des investissements</w:t>
            </w:r>
          </w:p>
        </w:tc>
        <w:tc>
          <w:tcPr>
            <w:tcW w:w="2268" w:type="dxa"/>
            <w:hideMark/>
          </w:tcPr>
          <w:p w14:paraId="6115F154" w14:textId="124D7A2B" w:rsidR="0000021D" w:rsidRPr="00FC6436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FC6436">
              <w:rPr>
                <w:i/>
                <w:iCs/>
                <w:sz w:val="20"/>
                <w:szCs w:val="20"/>
              </w:rPr>
              <w:t xml:space="preserve">Données bancaires, historiques de transactions, informations </w:t>
            </w:r>
            <w:r w:rsidR="002B443B" w:rsidRPr="00FC6436">
              <w:rPr>
                <w:i/>
                <w:iCs/>
                <w:sz w:val="20"/>
                <w:szCs w:val="20"/>
              </w:rPr>
              <w:t xml:space="preserve">personnelles </w:t>
            </w:r>
            <w:r w:rsidRPr="00FC6436">
              <w:rPr>
                <w:i/>
                <w:iCs/>
                <w:sz w:val="20"/>
                <w:szCs w:val="20"/>
              </w:rPr>
              <w:t>sur les investissements</w:t>
            </w:r>
          </w:p>
        </w:tc>
        <w:tc>
          <w:tcPr>
            <w:tcW w:w="2268" w:type="dxa"/>
            <w:hideMark/>
          </w:tcPr>
          <w:p w14:paraId="21D80BF8" w14:textId="33F3E132" w:rsidR="0000021D" w:rsidRPr="00FC6436" w:rsidRDefault="00A84142" w:rsidP="00A84142">
            <w:pPr>
              <w:rPr>
                <w:i/>
                <w:iCs/>
                <w:sz w:val="20"/>
                <w:szCs w:val="20"/>
              </w:rPr>
            </w:pPr>
            <w:r w:rsidRPr="00FC6436">
              <w:rPr>
                <w:i/>
                <w:iCs/>
                <w:sz w:val="20"/>
                <w:szCs w:val="20"/>
              </w:rPr>
              <w:t xml:space="preserve">Informations sur </w:t>
            </w:r>
            <w:r w:rsidR="009111C8" w:rsidRPr="00FC6436">
              <w:rPr>
                <w:i/>
                <w:iCs/>
                <w:sz w:val="20"/>
                <w:szCs w:val="20"/>
              </w:rPr>
              <w:t>Investissements et états financiers de la société, i</w:t>
            </w:r>
            <w:r w:rsidR="0000021D" w:rsidRPr="00FC6436">
              <w:rPr>
                <w:i/>
                <w:iCs/>
                <w:sz w:val="20"/>
                <w:szCs w:val="20"/>
              </w:rPr>
              <w:t>nformations fiscales, données de salaire, détails des enregistrements bancaires</w:t>
            </w:r>
          </w:p>
        </w:tc>
      </w:tr>
      <w:tr w:rsidR="00993EE5" w:rsidRPr="0000021D" w14:paraId="3547C2E0" w14:textId="77777777" w:rsidTr="00993EE5">
        <w:trPr>
          <w:trHeight w:val="1200"/>
        </w:trPr>
        <w:tc>
          <w:tcPr>
            <w:tcW w:w="1996" w:type="dxa"/>
            <w:hideMark/>
          </w:tcPr>
          <w:p w14:paraId="2BFE5101" w14:textId="77777777" w:rsidR="0000021D" w:rsidRPr="0000021D" w:rsidRDefault="0000021D" w:rsidP="0000021D">
            <w:pPr>
              <w:rPr>
                <w:b/>
                <w:bCs/>
              </w:rPr>
            </w:pPr>
            <w:r w:rsidRPr="0000021D">
              <w:rPr>
                <w:b/>
                <w:bCs/>
              </w:rPr>
              <w:t>Recherche et développement</w:t>
            </w:r>
          </w:p>
        </w:tc>
        <w:tc>
          <w:tcPr>
            <w:tcW w:w="2081" w:type="dxa"/>
            <w:hideMark/>
          </w:tcPr>
          <w:p w14:paraId="56765DEA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Outils de gestion de projet, plateformes de collaboration, systèmes d'analyse de données</w:t>
            </w:r>
          </w:p>
        </w:tc>
        <w:tc>
          <w:tcPr>
            <w:tcW w:w="2268" w:type="dxa"/>
            <w:hideMark/>
          </w:tcPr>
          <w:p w14:paraId="15FDCFF3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IA pour simulation de résultats, outils de modélisation, développement de prototypes virtuels</w:t>
            </w:r>
          </w:p>
        </w:tc>
        <w:tc>
          <w:tcPr>
            <w:tcW w:w="2268" w:type="dxa"/>
            <w:hideMark/>
          </w:tcPr>
          <w:p w14:paraId="451F4D02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Informations sur les projets en cours, retours des tests, rapports de recherche</w:t>
            </w:r>
          </w:p>
        </w:tc>
        <w:tc>
          <w:tcPr>
            <w:tcW w:w="2268" w:type="dxa"/>
            <w:hideMark/>
          </w:tcPr>
          <w:p w14:paraId="5CDA1440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  <w:r w:rsidRPr="0000021D">
              <w:rPr>
                <w:i/>
                <w:iCs/>
                <w:sz w:val="20"/>
                <w:szCs w:val="20"/>
              </w:rPr>
              <w:t>Données sur la propriété intellectuelle, résultats d'études confidentielles</w:t>
            </w:r>
          </w:p>
        </w:tc>
      </w:tr>
      <w:tr w:rsidR="0000021D" w:rsidRPr="0000021D" w14:paraId="241F4A33" w14:textId="77777777" w:rsidTr="00993EE5">
        <w:trPr>
          <w:trHeight w:val="1200"/>
        </w:trPr>
        <w:tc>
          <w:tcPr>
            <w:tcW w:w="1996" w:type="dxa"/>
          </w:tcPr>
          <w:p w14:paraId="56535F49" w14:textId="04E36EA1" w:rsidR="0000021D" w:rsidRPr="0000021D" w:rsidRDefault="0000021D" w:rsidP="0000021D">
            <w:pPr>
              <w:rPr>
                <w:b/>
                <w:bCs/>
              </w:rPr>
            </w:pPr>
            <w:r>
              <w:rPr>
                <w:b/>
                <w:bCs/>
              </w:rPr>
              <w:t>Autres</w:t>
            </w:r>
          </w:p>
        </w:tc>
        <w:tc>
          <w:tcPr>
            <w:tcW w:w="2081" w:type="dxa"/>
          </w:tcPr>
          <w:p w14:paraId="577B5048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C3AF0D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1F57D8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79D64D" w14:textId="77777777" w:rsidR="0000021D" w:rsidRPr="0000021D" w:rsidRDefault="0000021D" w:rsidP="0000021D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255F5EF0" w14:textId="77777777" w:rsidR="001133E0" w:rsidRDefault="001133E0"/>
    <w:sectPr w:rsidR="001133E0">
      <w:headerReference w:type="default" r:id="rId6"/>
      <w:type w:val="continuous"/>
      <w:pgSz w:w="11920" w:h="16840"/>
      <w:pgMar w:top="1820" w:right="425" w:bottom="280" w:left="566" w:header="5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A7FC" w14:textId="77777777" w:rsidR="001D5E9E" w:rsidRDefault="001D5E9E">
      <w:r>
        <w:separator/>
      </w:r>
    </w:p>
  </w:endnote>
  <w:endnote w:type="continuationSeparator" w:id="0">
    <w:p w14:paraId="2126E9B1" w14:textId="77777777" w:rsidR="001D5E9E" w:rsidRDefault="001D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CA6F" w14:textId="77777777" w:rsidR="001D5E9E" w:rsidRDefault="001D5E9E">
      <w:r>
        <w:separator/>
      </w:r>
    </w:p>
  </w:footnote>
  <w:footnote w:type="continuationSeparator" w:id="0">
    <w:p w14:paraId="1758BC9D" w14:textId="77777777" w:rsidR="001D5E9E" w:rsidRDefault="001D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72BC" w14:textId="649360DA" w:rsidR="000B17EF" w:rsidRDefault="000B17EF">
    <w:pPr>
      <w:pStyle w:val="Corpsdetexte"/>
      <w:spacing w:line="14" w:lineRule="auto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17EF"/>
    <w:rsid w:val="0000021D"/>
    <w:rsid w:val="000B17EF"/>
    <w:rsid w:val="000D5FC2"/>
    <w:rsid w:val="001133E0"/>
    <w:rsid w:val="001D5E9E"/>
    <w:rsid w:val="001F5CEC"/>
    <w:rsid w:val="00231BC6"/>
    <w:rsid w:val="002B443B"/>
    <w:rsid w:val="002C4FF1"/>
    <w:rsid w:val="004927AC"/>
    <w:rsid w:val="00526950"/>
    <w:rsid w:val="00532614"/>
    <w:rsid w:val="00577FDB"/>
    <w:rsid w:val="00701554"/>
    <w:rsid w:val="007D16D8"/>
    <w:rsid w:val="008C0732"/>
    <w:rsid w:val="009111C8"/>
    <w:rsid w:val="00960F1A"/>
    <w:rsid w:val="00993EE5"/>
    <w:rsid w:val="00A32EE3"/>
    <w:rsid w:val="00A84142"/>
    <w:rsid w:val="00BE0028"/>
    <w:rsid w:val="00CE5786"/>
    <w:rsid w:val="00E708DB"/>
    <w:rsid w:val="00F777F3"/>
    <w:rsid w:val="00FC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8BF0A2"/>
  <w15:docId w15:val="{4A697E9C-4AA4-4BDE-962B-2C82841E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80"/>
      <w:ind w:left="1230"/>
      <w:outlineLvl w:val="0"/>
    </w:pPr>
    <w:rPr>
      <w:b/>
      <w:bCs/>
      <w:sz w:val="29"/>
      <w:szCs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7"/>
      <w:ind w:left="109"/>
    </w:pPr>
  </w:style>
  <w:style w:type="paragraph" w:styleId="En-tte">
    <w:name w:val="header"/>
    <w:basedOn w:val="Normal"/>
    <w:link w:val="En-tteCar"/>
    <w:uiPriority w:val="99"/>
    <w:unhideWhenUsed/>
    <w:rsid w:val="001133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33E0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133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33E0"/>
    <w:rPr>
      <w:rFonts w:ascii="Arial" w:eastAsia="Arial" w:hAnsi="Arial" w:cs="Arial"/>
      <w:lang w:val="fr-FR"/>
    </w:rPr>
  </w:style>
  <w:style w:type="table" w:styleId="Grilledutableau">
    <w:name w:val="Table Grid"/>
    <w:basedOn w:val="TableauNormal"/>
    <w:uiPriority w:val="39"/>
    <w:rsid w:val="00000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3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Geneve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Rudolf Melissa (DEE)</cp:lastModifiedBy>
  <cp:revision>5</cp:revision>
  <dcterms:created xsi:type="dcterms:W3CDTF">2025-12-08T10:20:00Z</dcterms:created>
  <dcterms:modified xsi:type="dcterms:W3CDTF">2025-12-11T14:35:00Z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LastSaved">
    <vt:filetime>2025-11-25T00:00:00Z</vt:filetime>
  </property>
  <property fmtid="{D5CDD505-2E9C-101B-9397-08002B2CF9AE}" pid="4" name="Producer">
    <vt:lpwstr>PDFTron PDFNet, V10.1218
</vt:lpwstr>
  </property>
  <property fmtid="{D5CDD505-2E9C-101B-9397-08002B2CF9AE}" pid="5" name="_AdHocReviewCycleID">
    <vt:i4>259479457</vt:i4>
  </property>
  <property fmtid="{D5CDD505-2E9C-101B-9397-08002B2CF9AE}" pid="6" name="_NewReviewCycle">
    <vt:lpwstr/>
  </property>
  <property fmtid="{D5CDD505-2E9C-101B-9397-08002B2CF9AE}" pid="7" name="_EmailSubject">
    <vt:lpwstr>dernière proposition de formulation sur la question de l’impact environnemental lié à l’IA  </vt:lpwstr>
  </property>
  <property fmtid="{D5CDD505-2E9C-101B-9397-08002B2CF9AE}" pid="8" name="_AuthorEmail">
    <vt:lpwstr>niels.bohr@etat.ge.ch</vt:lpwstr>
  </property>
  <property fmtid="{D5CDD505-2E9C-101B-9397-08002B2CF9AE}" pid="9" name="_AuthorEmailDisplayName">
    <vt:lpwstr>Bohr Niels (DEE)</vt:lpwstr>
  </property>
  <property fmtid="{D5CDD505-2E9C-101B-9397-08002B2CF9AE}" pid="10" name="_ReviewingToolsShownOnce">
    <vt:lpwstr/>
  </property>
</Properties>
</file>