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75A" w:rsidRPr="00D97806" w:rsidRDefault="00B2675A" w:rsidP="00B2675A">
      <w:pPr>
        <w:pStyle w:val="Intitul"/>
        <w:pBdr>
          <w:bottom w:val="single" w:sz="12" w:space="1" w:color="auto"/>
        </w:pBdr>
        <w:ind w:left="0" w:right="0"/>
        <w:jc w:val="both"/>
        <w:rPr>
          <w:rFonts w:cs="Arial"/>
          <w:b/>
          <w:sz w:val="24"/>
          <w:szCs w:val="24"/>
        </w:rPr>
      </w:pPr>
      <w:r>
        <w:rPr>
          <w:rFonts w:cs="Arial"/>
          <w:b/>
          <w:sz w:val="24"/>
          <w:szCs w:val="24"/>
        </w:rPr>
        <w:t xml:space="preserve">PPCE séance CE 23/01/2019 – DT – </w:t>
      </w:r>
      <w:r w:rsidRPr="00B2675A">
        <w:rPr>
          <w:b/>
        </w:rPr>
        <w:t>Révision de la loi sur l'approvisionnement en électricité (ouverture complète du marché de l'électricité, réserve de stockage et modernisation de la régulation du réseau)</w:t>
      </w:r>
    </w:p>
    <w:p w:rsidR="0011022A" w:rsidRPr="0011022A" w:rsidRDefault="0011022A" w:rsidP="00B2675A">
      <w:pPr>
        <w:spacing w:before="380" w:after="120" w:line="260" w:lineRule="exact"/>
        <w:jc w:val="both"/>
        <w:rPr>
          <w:rFonts w:cs="Arial"/>
          <w:b/>
          <w:bCs/>
          <w:iCs/>
          <w:szCs w:val="22"/>
        </w:rPr>
      </w:pPr>
      <w:r>
        <w:rPr>
          <w:rFonts w:cs="Arial"/>
          <w:b/>
          <w:bCs/>
          <w:iCs/>
          <w:szCs w:val="22"/>
        </w:rPr>
        <w:t xml:space="preserve">Non à une ouverture </w:t>
      </w:r>
      <w:r w:rsidR="00A31946">
        <w:rPr>
          <w:rFonts w:cs="Arial"/>
          <w:b/>
          <w:bCs/>
          <w:iCs/>
          <w:szCs w:val="22"/>
        </w:rPr>
        <w:t xml:space="preserve">complète </w:t>
      </w:r>
      <w:r>
        <w:rPr>
          <w:rFonts w:cs="Arial"/>
          <w:b/>
          <w:bCs/>
          <w:iCs/>
          <w:szCs w:val="22"/>
        </w:rPr>
        <w:t xml:space="preserve">du marché de l'électricité défavorable aux énergies renouvelables  locales. </w:t>
      </w:r>
    </w:p>
    <w:p w:rsidR="004A181D" w:rsidRDefault="0011022A" w:rsidP="0011022A">
      <w:pPr>
        <w:jc w:val="both"/>
        <w:rPr>
          <w:rFonts w:cs="Arial"/>
          <w:szCs w:val="22"/>
        </w:rPr>
      </w:pPr>
      <w:r w:rsidRPr="0011022A">
        <w:rPr>
          <w:rFonts w:cs="Arial"/>
          <w:szCs w:val="22"/>
        </w:rPr>
        <w:t>Le Conseil d'Etat a répondu à une consultation du Département fédéral de l'environnement, des transports, de l'énergie et de la communication</w:t>
      </w:r>
      <w:r w:rsidR="00160734">
        <w:rPr>
          <w:rFonts w:cs="Arial"/>
          <w:szCs w:val="22"/>
        </w:rPr>
        <w:t xml:space="preserve"> (DETEC)</w:t>
      </w:r>
      <w:r w:rsidRPr="0011022A">
        <w:rPr>
          <w:rFonts w:cs="Arial"/>
          <w:szCs w:val="22"/>
        </w:rPr>
        <w:t xml:space="preserve"> </w:t>
      </w:r>
      <w:r w:rsidR="00AD21CF">
        <w:rPr>
          <w:rFonts w:cs="Arial"/>
          <w:szCs w:val="22"/>
        </w:rPr>
        <w:t>concernant</w:t>
      </w:r>
      <w:r w:rsidRPr="0011022A">
        <w:rPr>
          <w:rFonts w:cs="Arial"/>
          <w:szCs w:val="22"/>
        </w:rPr>
        <w:t xml:space="preserve"> </w:t>
      </w:r>
      <w:r w:rsidRPr="0028387B">
        <w:rPr>
          <w:rFonts w:cs="Arial"/>
          <w:szCs w:val="22"/>
        </w:rPr>
        <w:t xml:space="preserve">la </w:t>
      </w:r>
      <w:r w:rsidR="00E420F8">
        <w:t xml:space="preserve">révision de la </w:t>
      </w:r>
      <w:hyperlink r:id="rId5" w:history="1">
        <w:r w:rsidR="00E420F8" w:rsidRPr="00B33561">
          <w:rPr>
            <w:rStyle w:val="Lienhypertexte"/>
          </w:rPr>
          <w:t>loi sur l'approvisionnement en électricité (</w:t>
        </w:r>
        <w:proofErr w:type="spellStart"/>
        <w:r w:rsidR="00E420F8" w:rsidRPr="00B33561">
          <w:rPr>
            <w:rStyle w:val="Lienhypertexte"/>
          </w:rPr>
          <w:t>LApEl</w:t>
        </w:r>
        <w:proofErr w:type="spellEnd"/>
      </w:hyperlink>
      <w:r w:rsidR="00E420F8">
        <w:t>). Ce projet prévoit</w:t>
      </w:r>
      <w:r w:rsidRPr="0028387B">
        <w:rPr>
          <w:rFonts w:cs="Arial"/>
          <w:szCs w:val="22"/>
        </w:rPr>
        <w:t xml:space="preserve"> l'ouverture</w:t>
      </w:r>
      <w:r w:rsidR="00E420F8">
        <w:rPr>
          <w:rFonts w:cs="Arial"/>
          <w:szCs w:val="22"/>
        </w:rPr>
        <w:t xml:space="preserve"> complète</w:t>
      </w:r>
      <w:r w:rsidR="00105841">
        <w:rPr>
          <w:rFonts w:cs="Arial"/>
          <w:szCs w:val="22"/>
        </w:rPr>
        <w:t xml:space="preserve"> du marché de l'électricité</w:t>
      </w:r>
      <w:r w:rsidR="00E420F8">
        <w:rPr>
          <w:rFonts w:cs="Arial"/>
          <w:szCs w:val="22"/>
        </w:rPr>
        <w:t xml:space="preserve"> </w:t>
      </w:r>
      <w:r w:rsidR="00AD21CF">
        <w:rPr>
          <w:rFonts w:cs="Arial"/>
          <w:szCs w:val="22"/>
        </w:rPr>
        <w:t xml:space="preserve">ainsi que </w:t>
      </w:r>
      <w:r w:rsidR="00E420F8">
        <w:rPr>
          <w:rFonts w:cs="Arial"/>
          <w:szCs w:val="22"/>
        </w:rPr>
        <w:t>des adaptations en vue de le moderniser</w:t>
      </w:r>
      <w:r w:rsidR="00AD21CF">
        <w:rPr>
          <w:rFonts w:cs="Arial"/>
          <w:szCs w:val="22"/>
        </w:rPr>
        <w:t>.</w:t>
      </w:r>
      <w:r w:rsidRPr="0028387B">
        <w:rPr>
          <w:rFonts w:cs="Arial"/>
          <w:szCs w:val="22"/>
        </w:rPr>
        <w:t xml:space="preserve"> </w:t>
      </w:r>
      <w:r w:rsidR="00AD21CF">
        <w:rPr>
          <w:rFonts w:cs="Arial"/>
          <w:szCs w:val="22"/>
        </w:rPr>
        <w:t xml:space="preserve">Cette </w:t>
      </w:r>
      <w:r w:rsidRPr="0028387B">
        <w:rPr>
          <w:rFonts w:cs="Arial"/>
          <w:szCs w:val="22"/>
        </w:rPr>
        <w:t xml:space="preserve">ouverture permettrait </w:t>
      </w:r>
      <w:r w:rsidR="00CA7785">
        <w:rPr>
          <w:rFonts w:cs="Arial"/>
          <w:szCs w:val="22"/>
        </w:rPr>
        <w:t xml:space="preserve">notamment </w:t>
      </w:r>
      <w:r w:rsidRPr="0028387B">
        <w:rPr>
          <w:rFonts w:cs="Arial"/>
          <w:szCs w:val="22"/>
        </w:rPr>
        <w:t>aux petits consommateurs de choisir leur fournisseur d'électricité</w:t>
      </w:r>
      <w:r w:rsidR="004A181D">
        <w:rPr>
          <w:rFonts w:cs="Arial"/>
          <w:szCs w:val="22"/>
        </w:rPr>
        <w:t>.</w:t>
      </w:r>
    </w:p>
    <w:p w:rsidR="0011022A" w:rsidRPr="0011022A" w:rsidRDefault="00AD21CF" w:rsidP="0011022A">
      <w:pPr>
        <w:jc w:val="both"/>
        <w:rPr>
          <w:rFonts w:cs="Arial"/>
          <w:szCs w:val="22"/>
          <w:lang w:val="fr-CH"/>
        </w:rPr>
      </w:pPr>
      <w:r>
        <w:rPr>
          <w:rFonts w:cs="Arial"/>
          <w:szCs w:val="22"/>
        </w:rPr>
        <w:t xml:space="preserve"> </w:t>
      </w:r>
    </w:p>
    <w:p w:rsidR="00CA7785" w:rsidRDefault="0011022A" w:rsidP="0011022A">
      <w:pPr>
        <w:jc w:val="both"/>
        <w:rPr>
          <w:szCs w:val="22"/>
        </w:rPr>
      </w:pPr>
      <w:r w:rsidRPr="0011022A">
        <w:rPr>
          <w:rFonts w:cs="Arial"/>
          <w:szCs w:val="22"/>
          <w:lang w:val="fr-CH"/>
        </w:rPr>
        <w:t xml:space="preserve">Dans sa réponse, le </w:t>
      </w:r>
      <w:r w:rsidRPr="0011022A">
        <w:rPr>
          <w:rFonts w:cs="Arial"/>
          <w:szCs w:val="22"/>
        </w:rPr>
        <w:t>Conseil d'Etat relève qu</w:t>
      </w:r>
      <w:r w:rsidRPr="0028387B">
        <w:rPr>
          <w:rFonts w:cs="Arial"/>
          <w:szCs w:val="22"/>
        </w:rPr>
        <w:t xml:space="preserve">e </w:t>
      </w:r>
      <w:r w:rsidR="00E420F8" w:rsidRPr="00253AA1">
        <w:rPr>
          <w:szCs w:val="22"/>
        </w:rPr>
        <w:t>la présumée concurrence est faussée par le courant vendu sur le marché européen principalement produit à partir d'agents non renouvelables, fortement subventionné et dont le bas prix ne reflète pas ses impacts environnementaux et climatiques. La proposition affaiblit également le modèle gag</w:t>
      </w:r>
      <w:r w:rsidR="00E420F8">
        <w:rPr>
          <w:szCs w:val="22"/>
        </w:rPr>
        <w:t>n</w:t>
      </w:r>
      <w:r w:rsidR="00E420F8" w:rsidRPr="00253AA1">
        <w:rPr>
          <w:szCs w:val="22"/>
        </w:rPr>
        <w:t>ant de service public dans le domaine de la promotion de l'efficacité énergétique et du développement des énergies renouvelables, tel qu'il est pratiqué à Genève</w:t>
      </w:r>
      <w:r w:rsidR="00E420F8">
        <w:rPr>
          <w:szCs w:val="22"/>
        </w:rPr>
        <w:t>.</w:t>
      </w:r>
    </w:p>
    <w:p w:rsidR="00A31946" w:rsidRDefault="00A31946" w:rsidP="0011022A">
      <w:pPr>
        <w:jc w:val="both"/>
        <w:rPr>
          <w:rFonts w:cs="Arial"/>
          <w:szCs w:val="22"/>
        </w:rPr>
      </w:pPr>
    </w:p>
    <w:p w:rsidR="0028387B" w:rsidRPr="0028387B" w:rsidRDefault="0028387B" w:rsidP="0011022A">
      <w:pPr>
        <w:spacing w:after="240"/>
        <w:jc w:val="both"/>
        <w:rPr>
          <w:rFonts w:cs="Arial"/>
          <w:szCs w:val="22"/>
        </w:rPr>
      </w:pPr>
      <w:r w:rsidRPr="0028387B">
        <w:rPr>
          <w:rFonts w:cs="Arial"/>
          <w:szCs w:val="22"/>
        </w:rPr>
        <w:t>Dans les conditions actuelles du marché européen, le</w:t>
      </w:r>
      <w:r w:rsidR="0011022A" w:rsidRPr="0011022A">
        <w:rPr>
          <w:rFonts w:cs="Arial"/>
          <w:szCs w:val="22"/>
        </w:rPr>
        <w:t xml:space="preserve"> Conseil d'Etat estime</w:t>
      </w:r>
      <w:r w:rsidR="00A50A4E" w:rsidRPr="0028387B">
        <w:rPr>
          <w:rFonts w:cs="Arial"/>
          <w:szCs w:val="22"/>
        </w:rPr>
        <w:t xml:space="preserve"> </w:t>
      </w:r>
      <w:r w:rsidR="00AB0184">
        <w:rPr>
          <w:rFonts w:cs="Arial"/>
          <w:szCs w:val="22"/>
        </w:rPr>
        <w:t xml:space="preserve">par conséquent </w:t>
      </w:r>
      <w:r w:rsidRPr="0028387B">
        <w:rPr>
          <w:rFonts w:cs="Arial"/>
          <w:szCs w:val="22"/>
        </w:rPr>
        <w:t>que</w:t>
      </w:r>
      <w:r w:rsidR="0011022A" w:rsidRPr="0011022A">
        <w:rPr>
          <w:rFonts w:cs="Arial"/>
          <w:szCs w:val="22"/>
        </w:rPr>
        <w:t xml:space="preserve"> l</w:t>
      </w:r>
      <w:r w:rsidR="0011022A" w:rsidRPr="0028387B">
        <w:rPr>
          <w:rFonts w:cs="Arial"/>
          <w:szCs w:val="22"/>
        </w:rPr>
        <w:t xml:space="preserve">'ouverture totale du marché de l'électricité est incompatible avec la </w:t>
      </w:r>
      <w:r w:rsidR="00A50A4E" w:rsidRPr="0028387B">
        <w:rPr>
          <w:rFonts w:cs="Arial"/>
          <w:szCs w:val="22"/>
        </w:rPr>
        <w:t xml:space="preserve">stratégie énergétique 2050, fondée sur la sortie du </w:t>
      </w:r>
      <w:r w:rsidRPr="0028387B">
        <w:rPr>
          <w:rFonts w:cs="Arial"/>
          <w:szCs w:val="22"/>
        </w:rPr>
        <w:t>nucléaire</w:t>
      </w:r>
      <w:r w:rsidR="00833BFE">
        <w:rPr>
          <w:rFonts w:cs="Arial"/>
          <w:szCs w:val="22"/>
        </w:rPr>
        <w:t xml:space="preserve"> et le développement des énergies renouvelables locales. </w:t>
      </w:r>
    </w:p>
    <w:p w:rsidR="008F63D4" w:rsidRDefault="0028387B" w:rsidP="0011022A">
      <w:pPr>
        <w:spacing w:after="240"/>
        <w:jc w:val="both"/>
        <w:rPr>
          <w:rFonts w:cs="Arial"/>
          <w:szCs w:val="22"/>
          <w:lang w:val="fr-CH"/>
        </w:rPr>
      </w:pPr>
      <w:r w:rsidRPr="0028387B">
        <w:rPr>
          <w:szCs w:val="22"/>
          <w:lang w:val="fr-CH"/>
        </w:rPr>
        <w:t xml:space="preserve">Le </w:t>
      </w:r>
      <w:r w:rsidR="00AB0184">
        <w:rPr>
          <w:szCs w:val="22"/>
          <w:lang w:val="fr-CH"/>
        </w:rPr>
        <w:t>gouvernement</w:t>
      </w:r>
      <w:r w:rsidRPr="0028387B">
        <w:rPr>
          <w:szCs w:val="22"/>
          <w:lang w:val="fr-CH"/>
        </w:rPr>
        <w:t xml:space="preserve"> </w:t>
      </w:r>
      <w:r w:rsidR="00105841" w:rsidRPr="005F0BF6">
        <w:rPr>
          <w:rFonts w:cs="Arial"/>
          <w:szCs w:val="22"/>
          <w:lang w:val="fr-CH"/>
        </w:rPr>
        <w:t>précise</w:t>
      </w:r>
      <w:r w:rsidR="00AB0184">
        <w:rPr>
          <w:rFonts w:cs="Arial"/>
          <w:szCs w:val="22"/>
          <w:lang w:val="fr-CH"/>
        </w:rPr>
        <w:t xml:space="preserve"> toutefois</w:t>
      </w:r>
      <w:r w:rsidR="00105841">
        <w:rPr>
          <w:rFonts w:cs="Arial"/>
          <w:szCs w:val="22"/>
          <w:lang w:val="fr-CH"/>
        </w:rPr>
        <w:t xml:space="preserve">, dans le cadre des négociations en vue </w:t>
      </w:r>
      <w:r w:rsidR="00105841" w:rsidRPr="005F0BF6">
        <w:rPr>
          <w:rFonts w:cs="Arial"/>
          <w:szCs w:val="22"/>
          <w:lang w:val="fr-CH"/>
        </w:rPr>
        <w:t>avec l'</w:t>
      </w:r>
      <w:r w:rsidR="00105841">
        <w:rPr>
          <w:rFonts w:cs="Arial"/>
          <w:szCs w:val="22"/>
          <w:lang w:val="fr-CH"/>
        </w:rPr>
        <w:t>Union européenne</w:t>
      </w:r>
      <w:r w:rsidR="00AB0184">
        <w:rPr>
          <w:rFonts w:cs="Arial"/>
          <w:szCs w:val="22"/>
          <w:lang w:val="fr-CH"/>
        </w:rPr>
        <w:t>,</w:t>
      </w:r>
      <w:r w:rsidR="00105841">
        <w:rPr>
          <w:rFonts w:cs="Arial"/>
          <w:szCs w:val="22"/>
          <w:lang w:val="fr-CH"/>
        </w:rPr>
        <w:t xml:space="preserve"> qu'il n'est pas opposé à accord sur l'électricité. U</w:t>
      </w:r>
      <w:r w:rsidR="00105841" w:rsidRPr="005F0BF6">
        <w:rPr>
          <w:rFonts w:cs="Arial"/>
          <w:szCs w:val="22"/>
          <w:lang w:val="fr-CH"/>
        </w:rPr>
        <w:t>n tel accord requiert, au préalable, des conditions cadres permettant à la Suisse de préserver ses infrastructures et de développer des projets indispensables à un approvisionnement durable du pays.</w:t>
      </w:r>
    </w:p>
    <w:p w:rsidR="00B33561" w:rsidRDefault="00B33561" w:rsidP="00B33561">
      <w:pPr>
        <w:jc w:val="both"/>
        <w:rPr>
          <w:rFonts w:cs="Arial"/>
          <w:color w:val="000000"/>
          <w:szCs w:val="22"/>
        </w:rPr>
      </w:pPr>
      <w:r>
        <w:rPr>
          <w:rFonts w:cs="Arial"/>
          <w:color w:val="000000"/>
          <w:szCs w:val="22"/>
        </w:rPr>
        <w:t xml:space="preserve">Concernant les autres modifications de la </w:t>
      </w:r>
      <w:proofErr w:type="spellStart"/>
      <w:r>
        <w:rPr>
          <w:rFonts w:cs="Arial"/>
          <w:color w:val="000000"/>
          <w:szCs w:val="22"/>
        </w:rPr>
        <w:t>LApEL</w:t>
      </w:r>
      <w:proofErr w:type="spellEnd"/>
      <w:r w:rsidRPr="00B33561">
        <w:rPr>
          <w:rFonts w:cs="Arial"/>
          <w:color w:val="000000"/>
          <w:szCs w:val="22"/>
        </w:rPr>
        <w:t xml:space="preserve">, le gouvernement approuve pour majeure partie les propositions en matière de réserve de stockage, de tarification de l'utilisation du réseau, d'évaluation concernant la qualité, les coûts et les tarifs pratiqués par les gestionnaires de réseaux. Il est également favorable au développement d'un cadre pour l'essor des flexibilités permettant de soutenir la production énergétique décentralisée et </w:t>
      </w:r>
      <w:bookmarkStart w:id="0" w:name="_GoBack"/>
      <w:r w:rsidRPr="00B33561">
        <w:rPr>
          <w:rFonts w:cs="Arial"/>
          <w:color w:val="000000"/>
          <w:szCs w:val="22"/>
        </w:rPr>
        <w:t>renouvelable, ainsi que l'élaboration d'exigences en matière de gestion, de sécurité et de protection des données.</w:t>
      </w:r>
    </w:p>
    <w:p w:rsidR="00B33561" w:rsidRPr="001E1BB7" w:rsidRDefault="00B33561" w:rsidP="0011022A">
      <w:pPr>
        <w:spacing w:after="240"/>
        <w:jc w:val="both"/>
        <w:rPr>
          <w:rFonts w:cs="Arial"/>
          <w:szCs w:val="22"/>
        </w:rPr>
      </w:pPr>
    </w:p>
    <w:p w:rsidR="0011022A" w:rsidRPr="0011022A" w:rsidRDefault="0011022A" w:rsidP="0011022A">
      <w:pPr>
        <w:jc w:val="both"/>
        <w:rPr>
          <w:rFonts w:cs="Arial"/>
          <w:i/>
          <w:sz w:val="20"/>
          <w:szCs w:val="22"/>
        </w:rPr>
      </w:pPr>
      <w:r w:rsidRPr="0011022A">
        <w:rPr>
          <w:rFonts w:cs="Arial"/>
          <w:i/>
          <w:sz w:val="20"/>
          <w:szCs w:val="22"/>
        </w:rPr>
        <w:t xml:space="preserve">Pour toute </w:t>
      </w:r>
      <w:bookmarkEnd w:id="0"/>
      <w:r w:rsidRPr="0011022A">
        <w:rPr>
          <w:rFonts w:cs="Arial"/>
          <w:i/>
          <w:sz w:val="20"/>
          <w:szCs w:val="22"/>
        </w:rPr>
        <w:t>information complémentaire :</w:t>
      </w:r>
      <w:r w:rsidR="001E1BB7">
        <w:rPr>
          <w:rFonts w:cs="Arial"/>
          <w:i/>
          <w:sz w:val="20"/>
          <w:szCs w:val="22"/>
        </w:rPr>
        <w:t xml:space="preserve"> M. Antonio Hodgers, Conseiller d'Etat chargé du département du territoire (DT)</w:t>
      </w:r>
      <w:r w:rsidR="00CA6C79">
        <w:rPr>
          <w:rFonts w:cs="Arial"/>
          <w:i/>
          <w:sz w:val="20"/>
          <w:szCs w:val="22"/>
        </w:rPr>
        <w:t>,</w:t>
      </w:r>
      <w:r w:rsidR="001E1BB7">
        <w:rPr>
          <w:rFonts w:cs="Arial"/>
          <w:i/>
          <w:sz w:val="20"/>
          <w:szCs w:val="22"/>
        </w:rPr>
        <w:t xml:space="preserve"> en contactant Mme Béatrice Stückelberg, secrétaire générale adjointe, DT, au 076 322 32 04.</w:t>
      </w:r>
      <w:r w:rsidRPr="0011022A">
        <w:rPr>
          <w:rFonts w:cs="Arial"/>
          <w:i/>
          <w:sz w:val="20"/>
          <w:szCs w:val="22"/>
        </w:rPr>
        <w:t xml:space="preserve"> </w:t>
      </w:r>
    </w:p>
    <w:p w:rsidR="00F36260" w:rsidRDefault="00F36260"/>
    <w:sectPr w:rsidR="00F36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22A"/>
    <w:rsid w:val="000030CC"/>
    <w:rsid w:val="0003302E"/>
    <w:rsid w:val="0004074F"/>
    <w:rsid w:val="0004231B"/>
    <w:rsid w:val="000466EF"/>
    <w:rsid w:val="00047DC6"/>
    <w:rsid w:val="000521E3"/>
    <w:rsid w:val="000601A2"/>
    <w:rsid w:val="000D6F1A"/>
    <w:rsid w:val="00103CC5"/>
    <w:rsid w:val="00105841"/>
    <w:rsid w:val="00106FE5"/>
    <w:rsid w:val="0011022A"/>
    <w:rsid w:val="00150FEF"/>
    <w:rsid w:val="0015396A"/>
    <w:rsid w:val="00160734"/>
    <w:rsid w:val="00162515"/>
    <w:rsid w:val="00163C2C"/>
    <w:rsid w:val="00166075"/>
    <w:rsid w:val="0017411D"/>
    <w:rsid w:val="00195736"/>
    <w:rsid w:val="001B22ED"/>
    <w:rsid w:val="001B5D3B"/>
    <w:rsid w:val="001E1BB7"/>
    <w:rsid w:val="001E1DE3"/>
    <w:rsid w:val="001E2013"/>
    <w:rsid w:val="00212CD6"/>
    <w:rsid w:val="00212E76"/>
    <w:rsid w:val="00215F3A"/>
    <w:rsid w:val="002576DD"/>
    <w:rsid w:val="0028248E"/>
    <w:rsid w:val="0028387B"/>
    <w:rsid w:val="002850F6"/>
    <w:rsid w:val="002B265F"/>
    <w:rsid w:val="002C25AA"/>
    <w:rsid w:val="002C65EA"/>
    <w:rsid w:val="002C7962"/>
    <w:rsid w:val="002E59D1"/>
    <w:rsid w:val="00303FCD"/>
    <w:rsid w:val="0030402A"/>
    <w:rsid w:val="003108EF"/>
    <w:rsid w:val="00336FD0"/>
    <w:rsid w:val="003733EC"/>
    <w:rsid w:val="003B3F08"/>
    <w:rsid w:val="003B6608"/>
    <w:rsid w:val="003F0955"/>
    <w:rsid w:val="003F791D"/>
    <w:rsid w:val="00410528"/>
    <w:rsid w:val="00412E69"/>
    <w:rsid w:val="00413F2B"/>
    <w:rsid w:val="0044435A"/>
    <w:rsid w:val="00461EAF"/>
    <w:rsid w:val="00462271"/>
    <w:rsid w:val="00496BE1"/>
    <w:rsid w:val="004A181D"/>
    <w:rsid w:val="004A2D52"/>
    <w:rsid w:val="004B2E88"/>
    <w:rsid w:val="004B50AD"/>
    <w:rsid w:val="004C4464"/>
    <w:rsid w:val="004E5C5B"/>
    <w:rsid w:val="00500576"/>
    <w:rsid w:val="00546FF7"/>
    <w:rsid w:val="00552E95"/>
    <w:rsid w:val="00582268"/>
    <w:rsid w:val="00587DBB"/>
    <w:rsid w:val="00592C9D"/>
    <w:rsid w:val="00597FE3"/>
    <w:rsid w:val="005A7BC6"/>
    <w:rsid w:val="006621FE"/>
    <w:rsid w:val="0067013C"/>
    <w:rsid w:val="006852CE"/>
    <w:rsid w:val="006945B6"/>
    <w:rsid w:val="006A0C21"/>
    <w:rsid w:val="006A64FF"/>
    <w:rsid w:val="006B3C73"/>
    <w:rsid w:val="006C358C"/>
    <w:rsid w:val="006C6FFE"/>
    <w:rsid w:val="006D49F0"/>
    <w:rsid w:val="00716EA9"/>
    <w:rsid w:val="00771D48"/>
    <w:rsid w:val="00792D2E"/>
    <w:rsid w:val="007966E7"/>
    <w:rsid w:val="007D231E"/>
    <w:rsid w:val="007E2F57"/>
    <w:rsid w:val="00800556"/>
    <w:rsid w:val="00825DDE"/>
    <w:rsid w:val="008279D2"/>
    <w:rsid w:val="00833BFE"/>
    <w:rsid w:val="00857CD2"/>
    <w:rsid w:val="00864D98"/>
    <w:rsid w:val="00875246"/>
    <w:rsid w:val="00885844"/>
    <w:rsid w:val="00890A59"/>
    <w:rsid w:val="008B2717"/>
    <w:rsid w:val="008B3594"/>
    <w:rsid w:val="008B5E7E"/>
    <w:rsid w:val="008D5FA3"/>
    <w:rsid w:val="008E2CE4"/>
    <w:rsid w:val="008F63D4"/>
    <w:rsid w:val="009011DF"/>
    <w:rsid w:val="0092340B"/>
    <w:rsid w:val="009457F6"/>
    <w:rsid w:val="009612EC"/>
    <w:rsid w:val="00967455"/>
    <w:rsid w:val="0097016C"/>
    <w:rsid w:val="009B0765"/>
    <w:rsid w:val="009B58DD"/>
    <w:rsid w:val="009D6D8B"/>
    <w:rsid w:val="00A0287C"/>
    <w:rsid w:val="00A133A3"/>
    <w:rsid w:val="00A31946"/>
    <w:rsid w:val="00A50A4E"/>
    <w:rsid w:val="00A51B14"/>
    <w:rsid w:val="00A60272"/>
    <w:rsid w:val="00A73CA8"/>
    <w:rsid w:val="00A806CB"/>
    <w:rsid w:val="00AA22A7"/>
    <w:rsid w:val="00AB0184"/>
    <w:rsid w:val="00AC0C88"/>
    <w:rsid w:val="00AD21CF"/>
    <w:rsid w:val="00AE08EC"/>
    <w:rsid w:val="00B2486B"/>
    <w:rsid w:val="00B2675A"/>
    <w:rsid w:val="00B30900"/>
    <w:rsid w:val="00B32C0C"/>
    <w:rsid w:val="00B33561"/>
    <w:rsid w:val="00B52EAC"/>
    <w:rsid w:val="00B73247"/>
    <w:rsid w:val="00BE157D"/>
    <w:rsid w:val="00BF3C52"/>
    <w:rsid w:val="00C0063C"/>
    <w:rsid w:val="00C0667B"/>
    <w:rsid w:val="00C11A4F"/>
    <w:rsid w:val="00C45C51"/>
    <w:rsid w:val="00C66415"/>
    <w:rsid w:val="00C70585"/>
    <w:rsid w:val="00C8080D"/>
    <w:rsid w:val="00C82201"/>
    <w:rsid w:val="00C82C5A"/>
    <w:rsid w:val="00CA0155"/>
    <w:rsid w:val="00CA6C79"/>
    <w:rsid w:val="00CA7785"/>
    <w:rsid w:val="00CB2722"/>
    <w:rsid w:val="00CC3598"/>
    <w:rsid w:val="00CE247E"/>
    <w:rsid w:val="00D36E25"/>
    <w:rsid w:val="00D450D7"/>
    <w:rsid w:val="00D60E97"/>
    <w:rsid w:val="00D65C95"/>
    <w:rsid w:val="00DA6CD5"/>
    <w:rsid w:val="00DC1B56"/>
    <w:rsid w:val="00DC4F8B"/>
    <w:rsid w:val="00E020E2"/>
    <w:rsid w:val="00E02924"/>
    <w:rsid w:val="00E3071B"/>
    <w:rsid w:val="00E420F8"/>
    <w:rsid w:val="00E45FCE"/>
    <w:rsid w:val="00E55C97"/>
    <w:rsid w:val="00E60510"/>
    <w:rsid w:val="00E70F60"/>
    <w:rsid w:val="00E7505C"/>
    <w:rsid w:val="00E92858"/>
    <w:rsid w:val="00E92A33"/>
    <w:rsid w:val="00EA74C1"/>
    <w:rsid w:val="00EB3F49"/>
    <w:rsid w:val="00EC185E"/>
    <w:rsid w:val="00ED2DC5"/>
    <w:rsid w:val="00EE122A"/>
    <w:rsid w:val="00EE29CD"/>
    <w:rsid w:val="00F046AF"/>
    <w:rsid w:val="00F2778A"/>
    <w:rsid w:val="00F36260"/>
    <w:rsid w:val="00F45B7F"/>
    <w:rsid w:val="00F83C05"/>
    <w:rsid w:val="00F858C3"/>
    <w:rsid w:val="00FA67D8"/>
    <w:rsid w:val="00FA7D30"/>
    <w:rsid w:val="00FB010B"/>
    <w:rsid w:val="00FC2F0A"/>
    <w:rsid w:val="00FC4F9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50D7"/>
    <w:pPr>
      <w:overflowPunct w:val="0"/>
      <w:autoSpaceDE w:val="0"/>
      <w:autoSpaceDN w:val="0"/>
      <w:adjustRightInd w:val="0"/>
      <w:textAlignment w:val="baseline"/>
    </w:pPr>
    <w:rPr>
      <w:rFonts w:ascii="Arial" w:hAnsi="Arial"/>
      <w:sz w:val="22"/>
      <w:lang w:val="fr-FR" w:eastAsia="fr-FR"/>
    </w:rPr>
  </w:style>
  <w:style w:type="paragraph" w:styleId="Titre1">
    <w:name w:val="heading 1"/>
    <w:basedOn w:val="Normal"/>
    <w:next w:val="Normal"/>
    <w:qFormat/>
    <w:rsid w:val="00D450D7"/>
    <w:pPr>
      <w:keepNext/>
      <w:spacing w:before="240" w:after="60"/>
      <w:outlineLvl w:val="0"/>
    </w:pPr>
    <w:rPr>
      <w:b/>
      <w:kern w:val="28"/>
      <w:sz w:val="28"/>
    </w:rPr>
  </w:style>
  <w:style w:type="paragraph" w:styleId="Titre2">
    <w:name w:val="heading 2"/>
    <w:basedOn w:val="Normal"/>
    <w:next w:val="Normal"/>
    <w:qFormat/>
    <w:rsid w:val="00D450D7"/>
    <w:pPr>
      <w:keepNext/>
      <w:spacing w:before="240" w:after="60"/>
      <w:outlineLvl w:val="1"/>
    </w:pPr>
    <w:rPr>
      <w:b/>
      <w:i/>
      <w:sz w:val="24"/>
    </w:rPr>
  </w:style>
  <w:style w:type="paragraph" w:styleId="Titre3">
    <w:name w:val="heading 3"/>
    <w:basedOn w:val="Normal"/>
    <w:next w:val="Normal"/>
    <w:qFormat/>
    <w:rsid w:val="00D450D7"/>
    <w:pPr>
      <w:keepNext/>
      <w:spacing w:before="240" w:after="60"/>
      <w:outlineLvl w:val="2"/>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itul">
    <w:name w:val="Intitulé"/>
    <w:basedOn w:val="Normal"/>
    <w:rsid w:val="00B2675A"/>
    <w:pPr>
      <w:ind w:left="2013" w:right="2013"/>
      <w:jc w:val="center"/>
      <w:textAlignment w:val="auto"/>
    </w:pPr>
  </w:style>
  <w:style w:type="paragraph" w:styleId="Textedebulles">
    <w:name w:val="Balloon Text"/>
    <w:basedOn w:val="Normal"/>
    <w:link w:val="TextedebullesCar"/>
    <w:rsid w:val="009B0765"/>
    <w:rPr>
      <w:rFonts w:ascii="Tahoma" w:hAnsi="Tahoma" w:cs="Tahoma"/>
      <w:sz w:val="16"/>
      <w:szCs w:val="16"/>
    </w:rPr>
  </w:style>
  <w:style w:type="character" w:customStyle="1" w:styleId="TextedebullesCar">
    <w:name w:val="Texte de bulles Car"/>
    <w:basedOn w:val="Policepardfaut"/>
    <w:link w:val="Textedebulles"/>
    <w:rsid w:val="009B0765"/>
    <w:rPr>
      <w:rFonts w:ascii="Tahoma" w:hAnsi="Tahoma" w:cs="Tahoma"/>
      <w:sz w:val="16"/>
      <w:szCs w:val="16"/>
      <w:lang w:val="fr-FR" w:eastAsia="fr-FR"/>
    </w:rPr>
  </w:style>
  <w:style w:type="character" w:styleId="Lienhypertexte">
    <w:name w:val="Hyperlink"/>
    <w:basedOn w:val="Policepardfaut"/>
    <w:rsid w:val="00B335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50D7"/>
    <w:pPr>
      <w:overflowPunct w:val="0"/>
      <w:autoSpaceDE w:val="0"/>
      <w:autoSpaceDN w:val="0"/>
      <w:adjustRightInd w:val="0"/>
      <w:textAlignment w:val="baseline"/>
    </w:pPr>
    <w:rPr>
      <w:rFonts w:ascii="Arial" w:hAnsi="Arial"/>
      <w:sz w:val="22"/>
      <w:lang w:val="fr-FR" w:eastAsia="fr-FR"/>
    </w:rPr>
  </w:style>
  <w:style w:type="paragraph" w:styleId="Titre1">
    <w:name w:val="heading 1"/>
    <w:basedOn w:val="Normal"/>
    <w:next w:val="Normal"/>
    <w:qFormat/>
    <w:rsid w:val="00D450D7"/>
    <w:pPr>
      <w:keepNext/>
      <w:spacing w:before="240" w:after="60"/>
      <w:outlineLvl w:val="0"/>
    </w:pPr>
    <w:rPr>
      <w:b/>
      <w:kern w:val="28"/>
      <w:sz w:val="28"/>
    </w:rPr>
  </w:style>
  <w:style w:type="paragraph" w:styleId="Titre2">
    <w:name w:val="heading 2"/>
    <w:basedOn w:val="Normal"/>
    <w:next w:val="Normal"/>
    <w:qFormat/>
    <w:rsid w:val="00D450D7"/>
    <w:pPr>
      <w:keepNext/>
      <w:spacing w:before="240" w:after="60"/>
      <w:outlineLvl w:val="1"/>
    </w:pPr>
    <w:rPr>
      <w:b/>
      <w:i/>
      <w:sz w:val="24"/>
    </w:rPr>
  </w:style>
  <w:style w:type="paragraph" w:styleId="Titre3">
    <w:name w:val="heading 3"/>
    <w:basedOn w:val="Normal"/>
    <w:next w:val="Normal"/>
    <w:qFormat/>
    <w:rsid w:val="00D450D7"/>
    <w:pPr>
      <w:keepNext/>
      <w:spacing w:before="240" w:after="60"/>
      <w:outlineLvl w:val="2"/>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itul">
    <w:name w:val="Intitulé"/>
    <w:basedOn w:val="Normal"/>
    <w:rsid w:val="00B2675A"/>
    <w:pPr>
      <w:ind w:left="2013" w:right="2013"/>
      <w:jc w:val="center"/>
      <w:textAlignment w:val="auto"/>
    </w:pPr>
  </w:style>
  <w:style w:type="paragraph" w:styleId="Textedebulles">
    <w:name w:val="Balloon Text"/>
    <w:basedOn w:val="Normal"/>
    <w:link w:val="TextedebullesCar"/>
    <w:rsid w:val="009B0765"/>
    <w:rPr>
      <w:rFonts w:ascii="Tahoma" w:hAnsi="Tahoma" w:cs="Tahoma"/>
      <w:sz w:val="16"/>
      <w:szCs w:val="16"/>
    </w:rPr>
  </w:style>
  <w:style w:type="character" w:customStyle="1" w:styleId="TextedebullesCar">
    <w:name w:val="Texte de bulles Car"/>
    <w:basedOn w:val="Policepardfaut"/>
    <w:link w:val="Textedebulles"/>
    <w:rsid w:val="009B0765"/>
    <w:rPr>
      <w:rFonts w:ascii="Tahoma" w:hAnsi="Tahoma" w:cs="Tahoma"/>
      <w:sz w:val="16"/>
      <w:szCs w:val="16"/>
      <w:lang w:val="fr-FR" w:eastAsia="fr-FR"/>
    </w:rPr>
  </w:style>
  <w:style w:type="character" w:styleId="Lienhypertexte">
    <w:name w:val="Hyperlink"/>
    <w:basedOn w:val="Policepardfaut"/>
    <w:rsid w:val="00B335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7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dmin.ch/opc/fr/classified-compilation/20042411/index.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425</Words>
  <Characters>2338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Etat de Genève</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Garbely Myriam (DS)</dc:creator>
  <cp:lastModifiedBy>Stückelberg Vijverberg Béatrice (DALE)</cp:lastModifiedBy>
  <cp:revision>3</cp:revision>
  <cp:lastPrinted>2014-12-03T09:07:00Z</cp:lastPrinted>
  <dcterms:created xsi:type="dcterms:W3CDTF">2019-01-22T11:49:00Z</dcterms:created>
  <dcterms:modified xsi:type="dcterms:W3CDTF">2019-01-22T11:52:00Z</dcterms:modified>
</cp:coreProperties>
</file>